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F" w:rsidRPr="00B848CD" w:rsidRDefault="00B848CD" w:rsidP="007469EF">
      <w:pPr>
        <w:jc w:val="right"/>
        <w:rPr>
          <w:rFonts w:ascii="Arial" w:hAnsi="Arial" w:cs="Arial"/>
          <w:b/>
        </w:rPr>
      </w:pPr>
      <w:r w:rsidRPr="00B848CD">
        <w:rPr>
          <w:rFonts w:ascii="Arial" w:hAnsi="Arial" w:cs="Arial"/>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65.15pt;margin-top:-45pt;width:92.35pt;height:21.2pt;z-index:251660288;mso-width-relative:margin;mso-height-relative:margin" stroked="f">
            <v:textbox>
              <w:txbxContent>
                <w:p w:rsidR="00B848CD" w:rsidRPr="00B848CD" w:rsidRDefault="00B848CD">
                  <w:pPr>
                    <w:rPr>
                      <w:b/>
                    </w:rPr>
                  </w:pPr>
                  <w:r w:rsidRPr="00B848CD">
                    <w:rPr>
                      <w:b/>
                    </w:rPr>
                    <w:t>Appendix 'A'</w:t>
                  </w:r>
                </w:p>
              </w:txbxContent>
            </v:textbox>
          </v:shape>
        </w:pict>
      </w:r>
      <w:r w:rsidR="007469EF" w:rsidRPr="00B848CD">
        <w:rPr>
          <w:rFonts w:ascii="Arial" w:hAnsi="Arial" w:cs="Arial"/>
          <w:b/>
          <w:noProof/>
          <w:lang w:eastAsia="en-GB"/>
        </w:rPr>
        <w:drawing>
          <wp:inline distT="0" distB="0" distL="0" distR="0">
            <wp:extent cx="271399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3990" cy="523875"/>
                    </a:xfrm>
                    <a:prstGeom prst="rect">
                      <a:avLst/>
                    </a:prstGeom>
                    <a:noFill/>
                  </pic:spPr>
                </pic:pic>
              </a:graphicData>
            </a:graphic>
          </wp:inline>
        </w:drawing>
      </w:r>
    </w:p>
    <w:p w:rsidR="007469EF" w:rsidRPr="00B848CD" w:rsidRDefault="007469EF" w:rsidP="007469EF">
      <w:pPr>
        <w:jc w:val="center"/>
        <w:rPr>
          <w:rFonts w:ascii="Arial" w:hAnsi="Arial" w:cs="Arial"/>
          <w:b/>
        </w:rPr>
      </w:pPr>
    </w:p>
    <w:p w:rsidR="00B848CD" w:rsidRPr="00B848CD" w:rsidRDefault="00B848CD" w:rsidP="007469EF">
      <w:pPr>
        <w:jc w:val="center"/>
        <w:rPr>
          <w:rFonts w:ascii="Arial" w:hAnsi="Arial" w:cs="Arial"/>
          <w:b/>
        </w:rPr>
      </w:pPr>
    </w:p>
    <w:p w:rsidR="007469EF" w:rsidRPr="00B848CD" w:rsidRDefault="00740535" w:rsidP="007469EF">
      <w:pPr>
        <w:jc w:val="center"/>
        <w:rPr>
          <w:rFonts w:ascii="Arial" w:hAnsi="Arial" w:cs="Arial"/>
          <w:b/>
        </w:rPr>
      </w:pPr>
      <w:r w:rsidRPr="00B848CD">
        <w:rPr>
          <w:rFonts w:ascii="Arial" w:hAnsi="Arial" w:cs="Arial"/>
          <w:b/>
        </w:rPr>
        <w:t>Briefing P</w:t>
      </w:r>
      <w:r w:rsidR="007469EF" w:rsidRPr="00B848CD">
        <w:rPr>
          <w:rFonts w:ascii="Arial" w:hAnsi="Arial" w:cs="Arial"/>
          <w:b/>
        </w:rPr>
        <w:t xml:space="preserve">aper to Overview and Scrutiny </w:t>
      </w:r>
      <w:r w:rsidRPr="00B848CD">
        <w:rPr>
          <w:rFonts w:ascii="Arial" w:hAnsi="Arial" w:cs="Arial"/>
          <w:b/>
        </w:rPr>
        <w:t>Committee</w:t>
      </w:r>
    </w:p>
    <w:p w:rsidR="007469EF" w:rsidRPr="00B848CD" w:rsidRDefault="007469EF" w:rsidP="007469EF">
      <w:pPr>
        <w:jc w:val="center"/>
        <w:rPr>
          <w:rFonts w:ascii="Arial" w:hAnsi="Arial" w:cs="Arial"/>
          <w:b/>
        </w:rPr>
      </w:pPr>
      <w:r w:rsidRPr="00B848CD">
        <w:rPr>
          <w:rFonts w:ascii="Arial" w:hAnsi="Arial" w:cs="Arial"/>
          <w:b/>
        </w:rPr>
        <w:t xml:space="preserve">Mental Health Inpatient Re-configuration and Transitional Arrangements </w:t>
      </w:r>
    </w:p>
    <w:p w:rsidR="00927AA7" w:rsidRPr="00B848CD" w:rsidRDefault="00927AA7" w:rsidP="007469EF"/>
    <w:p w:rsidR="00B848CD" w:rsidRPr="00B848CD" w:rsidRDefault="00B848CD" w:rsidP="007469EF"/>
    <w:p w:rsidR="007469EF" w:rsidRPr="00B848CD" w:rsidRDefault="007469EF" w:rsidP="007469EF">
      <w:pPr>
        <w:rPr>
          <w:rFonts w:ascii="Arial" w:hAnsi="Arial" w:cs="Arial"/>
          <w:b/>
        </w:rPr>
      </w:pPr>
      <w:r w:rsidRPr="00B848CD">
        <w:rPr>
          <w:rFonts w:ascii="Arial" w:hAnsi="Arial" w:cs="Arial"/>
          <w:b/>
        </w:rPr>
        <w:t xml:space="preserve">Introduction </w:t>
      </w:r>
    </w:p>
    <w:p w:rsidR="007469EF" w:rsidRPr="00B848CD" w:rsidRDefault="007469EF" w:rsidP="007469EF">
      <w:pPr>
        <w:rPr>
          <w:rFonts w:ascii="Arial" w:hAnsi="Arial" w:cs="Arial"/>
        </w:rPr>
      </w:pPr>
    </w:p>
    <w:p w:rsidR="00BA4E3B" w:rsidRPr="00B848CD" w:rsidRDefault="00192497" w:rsidP="00192497">
      <w:pPr>
        <w:rPr>
          <w:rFonts w:ascii="Arial" w:hAnsi="Arial" w:cs="Arial"/>
        </w:rPr>
      </w:pPr>
      <w:r w:rsidRPr="00B848CD">
        <w:rPr>
          <w:rFonts w:ascii="Arial" w:hAnsi="Arial" w:cs="Arial"/>
        </w:rPr>
        <w:t>The purpose of this paper is to update members on the Trust’s transitional arrangements.</w:t>
      </w:r>
      <w:r w:rsidR="00911EB5" w:rsidRPr="00B848CD">
        <w:rPr>
          <w:rFonts w:ascii="Arial" w:hAnsi="Arial" w:cs="Arial"/>
        </w:rPr>
        <w:t xml:space="preserve"> Specifically, it relates to changes that have been made to the original plan</w:t>
      </w:r>
      <w:r w:rsidR="00CA4788" w:rsidRPr="00B848CD">
        <w:rPr>
          <w:rFonts w:ascii="Arial" w:hAnsi="Arial" w:cs="Arial"/>
        </w:rPr>
        <w:t xml:space="preserve"> that was presented to Overview and Scrutiny Committees in January 2012</w:t>
      </w:r>
      <w:r w:rsidR="00911EB5" w:rsidRPr="00B848CD">
        <w:rPr>
          <w:rFonts w:ascii="Arial" w:hAnsi="Arial" w:cs="Arial"/>
        </w:rPr>
        <w:t xml:space="preserve"> that will slow the pace of </w:t>
      </w:r>
      <w:r w:rsidR="00D478CA" w:rsidRPr="00B848CD">
        <w:rPr>
          <w:rFonts w:ascii="Arial" w:hAnsi="Arial" w:cs="Arial"/>
        </w:rPr>
        <w:t xml:space="preserve">the </w:t>
      </w:r>
      <w:r w:rsidR="00911EB5" w:rsidRPr="00B848CD">
        <w:rPr>
          <w:rFonts w:ascii="Arial" w:hAnsi="Arial" w:cs="Arial"/>
        </w:rPr>
        <w:t xml:space="preserve">transition </w:t>
      </w:r>
      <w:r w:rsidR="00D478CA" w:rsidRPr="00B848CD">
        <w:rPr>
          <w:rFonts w:ascii="Arial" w:hAnsi="Arial" w:cs="Arial"/>
        </w:rPr>
        <w:t xml:space="preserve">plan. </w:t>
      </w:r>
      <w:r w:rsidR="00911EB5" w:rsidRPr="00B848CD">
        <w:rPr>
          <w:rFonts w:ascii="Arial" w:hAnsi="Arial" w:cs="Arial"/>
        </w:rPr>
        <w:t xml:space="preserve"> </w:t>
      </w:r>
      <w:r w:rsidRPr="00B848CD">
        <w:rPr>
          <w:rFonts w:ascii="Arial" w:hAnsi="Arial" w:cs="Arial"/>
        </w:rPr>
        <w:t xml:space="preserve">  </w:t>
      </w:r>
    </w:p>
    <w:p w:rsidR="007469EF" w:rsidRPr="00B848CD" w:rsidRDefault="007469EF" w:rsidP="007469EF">
      <w:pPr>
        <w:rPr>
          <w:rFonts w:ascii="Arial" w:hAnsi="Arial" w:cs="Arial"/>
        </w:rPr>
      </w:pPr>
    </w:p>
    <w:p w:rsidR="007B7831" w:rsidRPr="00B848CD" w:rsidRDefault="007469EF" w:rsidP="007469EF">
      <w:pPr>
        <w:rPr>
          <w:rFonts w:ascii="Arial" w:hAnsi="Arial" w:cs="Arial"/>
        </w:rPr>
      </w:pPr>
      <w:r w:rsidRPr="00B848CD">
        <w:rPr>
          <w:rFonts w:ascii="Arial" w:hAnsi="Arial" w:cs="Arial"/>
        </w:rPr>
        <w:t xml:space="preserve">LCFT will be in the process of transition for the next </w:t>
      </w:r>
      <w:r w:rsidR="002F3175" w:rsidRPr="00B848CD">
        <w:rPr>
          <w:rFonts w:ascii="Arial" w:hAnsi="Arial" w:cs="Arial"/>
        </w:rPr>
        <w:t>four</w:t>
      </w:r>
      <w:r w:rsidRPr="00B848CD">
        <w:rPr>
          <w:rFonts w:ascii="Arial" w:hAnsi="Arial" w:cs="Arial"/>
        </w:rPr>
        <w:t xml:space="preserve"> years</w:t>
      </w:r>
      <w:r w:rsidR="00731C78" w:rsidRPr="00B848CD">
        <w:rPr>
          <w:rFonts w:ascii="Arial" w:hAnsi="Arial" w:cs="Arial"/>
        </w:rPr>
        <w:t>, until 2016</w:t>
      </w:r>
      <w:r w:rsidR="00740535" w:rsidRPr="00B848CD">
        <w:rPr>
          <w:rFonts w:ascii="Arial" w:hAnsi="Arial" w:cs="Arial"/>
        </w:rPr>
        <w:t>.</w:t>
      </w:r>
      <w:r w:rsidRPr="00B848CD">
        <w:rPr>
          <w:rFonts w:ascii="Arial" w:hAnsi="Arial" w:cs="Arial"/>
        </w:rPr>
        <w:t xml:space="preserve"> </w:t>
      </w:r>
      <w:r w:rsidR="00740535" w:rsidRPr="00B848CD">
        <w:rPr>
          <w:rFonts w:ascii="Arial" w:hAnsi="Arial" w:cs="Arial"/>
        </w:rPr>
        <w:t xml:space="preserve">This </w:t>
      </w:r>
      <w:r w:rsidRPr="00B848CD">
        <w:rPr>
          <w:rFonts w:ascii="Arial" w:hAnsi="Arial" w:cs="Arial"/>
        </w:rPr>
        <w:t>involves the de-commissioning of existing mental health inpatient facilities</w:t>
      </w:r>
      <w:r w:rsidR="007A6FD0" w:rsidRPr="00B848CD">
        <w:rPr>
          <w:rFonts w:ascii="Arial" w:hAnsi="Arial" w:cs="Arial"/>
        </w:rPr>
        <w:t xml:space="preserve">, which </w:t>
      </w:r>
      <w:r w:rsidR="00661F6D" w:rsidRPr="00B848CD">
        <w:rPr>
          <w:rFonts w:ascii="Arial" w:hAnsi="Arial" w:cs="Arial"/>
        </w:rPr>
        <w:t>a</w:t>
      </w:r>
      <w:r w:rsidRPr="00B848CD">
        <w:rPr>
          <w:rFonts w:ascii="Arial" w:hAnsi="Arial" w:cs="Arial"/>
        </w:rPr>
        <w:t xml:space="preserve">re being replaced with alternative </w:t>
      </w:r>
      <w:r w:rsidR="00740535" w:rsidRPr="00B848CD">
        <w:rPr>
          <w:rFonts w:ascii="Arial" w:hAnsi="Arial" w:cs="Arial"/>
        </w:rPr>
        <w:t xml:space="preserve">community </w:t>
      </w:r>
      <w:r w:rsidRPr="00B848CD">
        <w:rPr>
          <w:rFonts w:ascii="Arial" w:hAnsi="Arial" w:cs="Arial"/>
        </w:rPr>
        <w:t xml:space="preserve">provision and a </w:t>
      </w:r>
      <w:r w:rsidR="00740535" w:rsidRPr="00B848CD">
        <w:rPr>
          <w:rFonts w:ascii="Arial" w:hAnsi="Arial" w:cs="Arial"/>
        </w:rPr>
        <w:t xml:space="preserve">superior </w:t>
      </w:r>
      <w:r w:rsidRPr="00B848CD">
        <w:rPr>
          <w:rFonts w:ascii="Arial" w:hAnsi="Arial" w:cs="Arial"/>
        </w:rPr>
        <w:t xml:space="preserve">standard of accommodation </w:t>
      </w:r>
      <w:r w:rsidR="00740535" w:rsidRPr="00B848CD">
        <w:rPr>
          <w:rFonts w:ascii="Arial" w:hAnsi="Arial" w:cs="Arial"/>
        </w:rPr>
        <w:t xml:space="preserve">to </w:t>
      </w:r>
      <w:r w:rsidRPr="00B848CD">
        <w:rPr>
          <w:rFonts w:ascii="Arial" w:hAnsi="Arial" w:cs="Arial"/>
        </w:rPr>
        <w:t>be provided from four specialist sites across Lancashire</w:t>
      </w:r>
      <w:r w:rsidR="007B7831" w:rsidRPr="00B848CD">
        <w:rPr>
          <w:rFonts w:ascii="Arial" w:hAnsi="Arial" w:cs="Arial"/>
        </w:rPr>
        <w:t xml:space="preserve"> as follows: </w:t>
      </w:r>
    </w:p>
    <w:p w:rsidR="007B7831" w:rsidRPr="00B848CD" w:rsidRDefault="007B7831" w:rsidP="007469EF">
      <w:pPr>
        <w:rPr>
          <w:rFonts w:ascii="Arial" w:hAnsi="Arial" w:cs="Arial"/>
        </w:rPr>
      </w:pPr>
    </w:p>
    <w:p w:rsidR="007B7831" w:rsidRPr="00B848CD" w:rsidRDefault="007B7831" w:rsidP="007B7831">
      <w:pPr>
        <w:pStyle w:val="ListParagraph"/>
        <w:numPr>
          <w:ilvl w:val="0"/>
          <w:numId w:val="11"/>
        </w:numPr>
        <w:rPr>
          <w:rFonts w:ascii="Arial" w:hAnsi="Arial" w:cs="Arial"/>
          <w:b/>
        </w:rPr>
      </w:pPr>
      <w:r w:rsidRPr="00B848CD">
        <w:rPr>
          <w:rFonts w:ascii="Arial" w:hAnsi="Arial" w:cs="Arial"/>
        </w:rPr>
        <w:t xml:space="preserve">A re-development of the Oaklands Unit in Lancaster for North Lancashire </w:t>
      </w:r>
      <w:r w:rsidR="002F3175" w:rsidRPr="00B848CD">
        <w:rPr>
          <w:rFonts w:ascii="Arial" w:hAnsi="Arial" w:cs="Arial"/>
          <w:b/>
        </w:rPr>
        <w:t>(Autumn 2013)</w:t>
      </w:r>
    </w:p>
    <w:p w:rsidR="00192497" w:rsidRPr="00B848CD" w:rsidRDefault="00192497" w:rsidP="00192497">
      <w:pPr>
        <w:pStyle w:val="ListParagraph"/>
        <w:numPr>
          <w:ilvl w:val="0"/>
          <w:numId w:val="11"/>
        </w:numPr>
        <w:rPr>
          <w:rFonts w:ascii="Arial" w:hAnsi="Arial" w:cs="Arial"/>
        </w:rPr>
      </w:pPr>
      <w:r w:rsidRPr="00B848CD">
        <w:rPr>
          <w:rFonts w:ascii="Arial" w:hAnsi="Arial" w:cs="Arial"/>
        </w:rPr>
        <w:t xml:space="preserve">A new development, The Harbour, at Whyndyke Farm in Blackpool </w:t>
      </w:r>
      <w:r w:rsidRPr="00B848CD">
        <w:rPr>
          <w:rFonts w:ascii="Arial" w:hAnsi="Arial" w:cs="Arial"/>
          <w:b/>
        </w:rPr>
        <w:t>(2015)</w:t>
      </w:r>
      <w:r w:rsidRPr="00B848CD">
        <w:rPr>
          <w:rFonts w:ascii="Arial" w:hAnsi="Arial" w:cs="Arial"/>
        </w:rPr>
        <w:t xml:space="preserve"> </w:t>
      </w:r>
    </w:p>
    <w:p w:rsidR="007B7831" w:rsidRPr="00B848CD" w:rsidRDefault="007B7831" w:rsidP="007B7831">
      <w:pPr>
        <w:pStyle w:val="ListParagraph"/>
        <w:numPr>
          <w:ilvl w:val="0"/>
          <w:numId w:val="11"/>
        </w:numPr>
        <w:rPr>
          <w:rFonts w:ascii="Arial" w:hAnsi="Arial" w:cs="Arial"/>
        </w:rPr>
      </w:pPr>
      <w:r w:rsidRPr="00B848CD">
        <w:rPr>
          <w:rFonts w:ascii="Arial" w:hAnsi="Arial" w:cs="Arial"/>
        </w:rPr>
        <w:t>A re-development of the existing Blackburn site for East Lancashire</w:t>
      </w:r>
      <w:r w:rsidR="002F3175" w:rsidRPr="00B848CD">
        <w:rPr>
          <w:rFonts w:ascii="Arial" w:hAnsi="Arial" w:cs="Arial"/>
        </w:rPr>
        <w:t xml:space="preserve"> </w:t>
      </w:r>
      <w:r w:rsidR="002F3175" w:rsidRPr="00B848CD">
        <w:rPr>
          <w:rFonts w:ascii="Arial" w:hAnsi="Arial" w:cs="Arial"/>
          <w:b/>
        </w:rPr>
        <w:t>(estimated timescale 201</w:t>
      </w:r>
      <w:r w:rsidR="00AA75F1" w:rsidRPr="00B848CD">
        <w:rPr>
          <w:rFonts w:ascii="Arial" w:hAnsi="Arial" w:cs="Arial"/>
          <w:b/>
        </w:rPr>
        <w:t>6</w:t>
      </w:r>
      <w:r w:rsidR="002F3175" w:rsidRPr="00B848CD">
        <w:rPr>
          <w:rFonts w:ascii="Arial" w:hAnsi="Arial" w:cs="Arial"/>
          <w:b/>
        </w:rPr>
        <w:t>)</w:t>
      </w:r>
      <w:r w:rsidR="002F3175" w:rsidRPr="00B848CD">
        <w:rPr>
          <w:rFonts w:ascii="Arial" w:hAnsi="Arial" w:cs="Arial"/>
        </w:rPr>
        <w:t xml:space="preserve"> </w:t>
      </w:r>
      <w:r w:rsidRPr="00B848CD">
        <w:rPr>
          <w:rFonts w:ascii="Arial" w:hAnsi="Arial" w:cs="Arial"/>
        </w:rPr>
        <w:t xml:space="preserve"> </w:t>
      </w:r>
    </w:p>
    <w:p w:rsidR="002F3175" w:rsidRPr="00B848CD" w:rsidRDefault="002F3175" w:rsidP="002F3175">
      <w:pPr>
        <w:pStyle w:val="ListParagraph"/>
        <w:numPr>
          <w:ilvl w:val="0"/>
          <w:numId w:val="11"/>
        </w:numPr>
        <w:rPr>
          <w:rFonts w:ascii="Arial" w:hAnsi="Arial" w:cs="Arial"/>
        </w:rPr>
      </w:pPr>
      <w:r w:rsidRPr="00B848CD">
        <w:rPr>
          <w:rFonts w:ascii="Arial" w:hAnsi="Arial" w:cs="Arial"/>
        </w:rPr>
        <w:t xml:space="preserve">A new unit in Central Lancashire </w:t>
      </w:r>
      <w:r w:rsidRPr="00B848CD">
        <w:rPr>
          <w:rFonts w:ascii="Arial" w:hAnsi="Arial" w:cs="Arial"/>
          <w:b/>
        </w:rPr>
        <w:t>(location and timescale to be confirmed – estimated 2016)</w:t>
      </w:r>
    </w:p>
    <w:p w:rsidR="007469EF" w:rsidRPr="00B848CD" w:rsidRDefault="007469EF" w:rsidP="007469EF">
      <w:pPr>
        <w:rPr>
          <w:rFonts w:ascii="Arial" w:hAnsi="Arial" w:cs="Arial"/>
        </w:rPr>
      </w:pPr>
    </w:p>
    <w:p w:rsidR="00A961E0" w:rsidRPr="00B848CD" w:rsidRDefault="00A961E0" w:rsidP="007469EF">
      <w:pPr>
        <w:rPr>
          <w:rFonts w:ascii="Arial" w:hAnsi="Arial" w:cs="Arial"/>
        </w:rPr>
      </w:pPr>
      <w:r w:rsidRPr="00B848CD">
        <w:rPr>
          <w:rFonts w:ascii="Arial" w:hAnsi="Arial" w:cs="Arial"/>
        </w:rPr>
        <w:t>Preferred configuration by 2016 – bed numbers are estimates/planning assumptions</w:t>
      </w:r>
      <w:r w:rsidR="00731C78" w:rsidRPr="00B848CD">
        <w:rPr>
          <w:rFonts w:ascii="Arial" w:hAnsi="Arial" w:cs="Arial"/>
        </w:rPr>
        <w:t>:</w:t>
      </w:r>
      <w:r w:rsidRPr="00B848CD">
        <w:rPr>
          <w:rFonts w:ascii="Arial" w:hAnsi="Arial" w:cs="Arial"/>
        </w:rPr>
        <w:t xml:space="preserve"> </w:t>
      </w:r>
    </w:p>
    <w:p w:rsidR="004F6710" w:rsidRPr="00B848CD" w:rsidRDefault="004F6710" w:rsidP="007469EF">
      <w:pPr>
        <w:rPr>
          <w:rFonts w:ascii="Arial" w:hAnsi="Arial" w:cs="Arial"/>
        </w:rPr>
      </w:pPr>
    </w:p>
    <w:p w:rsidR="00A961E0" w:rsidRPr="00B848CD" w:rsidRDefault="00A961E0" w:rsidP="007469EF">
      <w:pPr>
        <w:rPr>
          <w:rFonts w:ascii="Arial" w:hAnsi="Arial" w:cs="Arial"/>
        </w:rPr>
      </w:pPr>
    </w:p>
    <w:tbl>
      <w:tblPr>
        <w:tblStyle w:val="TableGrid"/>
        <w:tblW w:w="9392" w:type="dxa"/>
        <w:tblLook w:val="04A0"/>
      </w:tblPr>
      <w:tblGrid>
        <w:gridCol w:w="2043"/>
        <w:gridCol w:w="1745"/>
        <w:gridCol w:w="1390"/>
        <w:gridCol w:w="1350"/>
        <w:gridCol w:w="1484"/>
        <w:gridCol w:w="1380"/>
      </w:tblGrid>
      <w:tr w:rsidR="004F6710" w:rsidRPr="00B848CD" w:rsidTr="004F6710">
        <w:trPr>
          <w:trHeight w:val="892"/>
        </w:trPr>
        <w:tc>
          <w:tcPr>
            <w:tcW w:w="2142" w:type="dxa"/>
          </w:tcPr>
          <w:p w:rsidR="004F6710" w:rsidRPr="00B848CD" w:rsidRDefault="004F6710" w:rsidP="007469EF">
            <w:pPr>
              <w:rPr>
                <w:rFonts w:ascii="Arial" w:hAnsi="Arial" w:cs="Arial"/>
                <w:b/>
                <w:sz w:val="24"/>
                <w:szCs w:val="24"/>
              </w:rPr>
            </w:pPr>
          </w:p>
          <w:p w:rsidR="004F6710" w:rsidRPr="00B848CD" w:rsidRDefault="004F6710" w:rsidP="007469EF">
            <w:pPr>
              <w:rPr>
                <w:rFonts w:ascii="Arial" w:hAnsi="Arial" w:cs="Arial"/>
                <w:b/>
                <w:sz w:val="24"/>
                <w:szCs w:val="24"/>
              </w:rPr>
            </w:pPr>
            <w:r w:rsidRPr="00B848CD">
              <w:rPr>
                <w:rFonts w:ascii="Arial" w:hAnsi="Arial" w:cs="Arial"/>
                <w:b/>
                <w:sz w:val="24"/>
                <w:szCs w:val="24"/>
              </w:rPr>
              <w:t>Inpatient service</w:t>
            </w:r>
          </w:p>
        </w:tc>
        <w:tc>
          <w:tcPr>
            <w:tcW w:w="1798" w:type="dxa"/>
          </w:tcPr>
          <w:p w:rsidR="004F6710" w:rsidRPr="00B848CD" w:rsidRDefault="004F6710" w:rsidP="007469EF">
            <w:pPr>
              <w:rPr>
                <w:rFonts w:ascii="Arial" w:hAnsi="Arial" w:cs="Arial"/>
                <w:b/>
                <w:sz w:val="24"/>
                <w:szCs w:val="24"/>
              </w:rPr>
            </w:pPr>
            <w:r w:rsidRPr="00B848CD">
              <w:rPr>
                <w:rFonts w:ascii="Arial" w:hAnsi="Arial" w:cs="Arial"/>
                <w:b/>
                <w:sz w:val="24"/>
                <w:szCs w:val="24"/>
              </w:rPr>
              <w:t xml:space="preserve">The Harbour </w:t>
            </w:r>
          </w:p>
          <w:p w:rsidR="004F6710" w:rsidRPr="00B848CD" w:rsidRDefault="004F6710" w:rsidP="007469EF">
            <w:pPr>
              <w:rPr>
                <w:rFonts w:ascii="Arial" w:hAnsi="Arial" w:cs="Arial"/>
                <w:b/>
                <w:sz w:val="24"/>
                <w:szCs w:val="24"/>
              </w:rPr>
            </w:pPr>
            <w:r w:rsidRPr="00B848CD">
              <w:rPr>
                <w:rFonts w:ascii="Arial" w:hAnsi="Arial" w:cs="Arial"/>
                <w:b/>
                <w:sz w:val="24"/>
                <w:szCs w:val="24"/>
              </w:rPr>
              <w:t xml:space="preserve">Blackpool </w:t>
            </w:r>
          </w:p>
        </w:tc>
        <w:tc>
          <w:tcPr>
            <w:tcW w:w="1313" w:type="dxa"/>
          </w:tcPr>
          <w:p w:rsidR="004F6710" w:rsidRPr="00B848CD" w:rsidRDefault="004F6710" w:rsidP="004F6710">
            <w:pPr>
              <w:rPr>
                <w:rFonts w:ascii="Arial" w:hAnsi="Arial" w:cs="Arial"/>
                <w:b/>
                <w:sz w:val="24"/>
                <w:szCs w:val="24"/>
              </w:rPr>
            </w:pPr>
            <w:r w:rsidRPr="00B848CD">
              <w:rPr>
                <w:rFonts w:ascii="Arial" w:hAnsi="Arial" w:cs="Arial"/>
                <w:b/>
                <w:sz w:val="24"/>
                <w:szCs w:val="24"/>
              </w:rPr>
              <w:t xml:space="preserve">Royal </w:t>
            </w:r>
          </w:p>
          <w:p w:rsidR="004F6710" w:rsidRPr="00B848CD" w:rsidRDefault="004F6710" w:rsidP="004F6710">
            <w:pPr>
              <w:rPr>
                <w:rFonts w:ascii="Arial" w:hAnsi="Arial" w:cs="Arial"/>
                <w:b/>
                <w:sz w:val="24"/>
                <w:szCs w:val="24"/>
              </w:rPr>
            </w:pPr>
            <w:r w:rsidRPr="00B848CD">
              <w:rPr>
                <w:rFonts w:ascii="Arial" w:hAnsi="Arial" w:cs="Arial"/>
                <w:b/>
                <w:sz w:val="24"/>
                <w:szCs w:val="24"/>
              </w:rPr>
              <w:t xml:space="preserve">Blackburn  </w:t>
            </w:r>
          </w:p>
        </w:tc>
        <w:tc>
          <w:tcPr>
            <w:tcW w:w="1276" w:type="dxa"/>
          </w:tcPr>
          <w:p w:rsidR="004F6710" w:rsidRPr="00B848CD" w:rsidRDefault="004F6710" w:rsidP="007469EF">
            <w:pPr>
              <w:rPr>
                <w:rFonts w:ascii="Arial" w:hAnsi="Arial" w:cs="Arial"/>
                <w:b/>
                <w:sz w:val="24"/>
                <w:szCs w:val="24"/>
              </w:rPr>
            </w:pPr>
            <w:r w:rsidRPr="00B848CD">
              <w:rPr>
                <w:rFonts w:ascii="Arial" w:hAnsi="Arial" w:cs="Arial"/>
                <w:b/>
                <w:sz w:val="24"/>
                <w:szCs w:val="24"/>
              </w:rPr>
              <w:t>Oaklands</w:t>
            </w:r>
          </w:p>
          <w:p w:rsidR="004F6710" w:rsidRPr="00B848CD" w:rsidRDefault="004F6710" w:rsidP="007469EF">
            <w:pPr>
              <w:rPr>
                <w:rFonts w:ascii="Arial" w:hAnsi="Arial" w:cs="Arial"/>
                <w:b/>
                <w:sz w:val="24"/>
                <w:szCs w:val="24"/>
              </w:rPr>
            </w:pPr>
            <w:r w:rsidRPr="00B848CD">
              <w:rPr>
                <w:rFonts w:ascii="Arial" w:hAnsi="Arial" w:cs="Arial"/>
                <w:b/>
                <w:sz w:val="24"/>
                <w:szCs w:val="24"/>
              </w:rPr>
              <w:t>Lancaster</w:t>
            </w:r>
          </w:p>
        </w:tc>
        <w:tc>
          <w:tcPr>
            <w:tcW w:w="1401" w:type="dxa"/>
          </w:tcPr>
          <w:p w:rsidR="004F6710" w:rsidRPr="00B848CD" w:rsidRDefault="004F6710" w:rsidP="007469EF">
            <w:pPr>
              <w:rPr>
                <w:rFonts w:ascii="Arial" w:hAnsi="Arial" w:cs="Arial"/>
                <w:b/>
                <w:sz w:val="24"/>
                <w:szCs w:val="24"/>
              </w:rPr>
            </w:pPr>
            <w:r w:rsidRPr="00B848CD">
              <w:rPr>
                <w:rFonts w:ascii="Arial" w:hAnsi="Arial" w:cs="Arial"/>
                <w:b/>
                <w:sz w:val="24"/>
                <w:szCs w:val="24"/>
              </w:rPr>
              <w:t xml:space="preserve">Central </w:t>
            </w:r>
          </w:p>
          <w:p w:rsidR="004F6710" w:rsidRPr="00B848CD" w:rsidRDefault="004F6710" w:rsidP="007469EF">
            <w:pPr>
              <w:rPr>
                <w:rFonts w:ascii="Arial" w:hAnsi="Arial" w:cs="Arial"/>
                <w:b/>
                <w:sz w:val="24"/>
                <w:szCs w:val="24"/>
              </w:rPr>
            </w:pPr>
            <w:r w:rsidRPr="00B848CD">
              <w:rPr>
                <w:rFonts w:ascii="Arial" w:hAnsi="Arial" w:cs="Arial"/>
                <w:b/>
                <w:sz w:val="24"/>
                <w:szCs w:val="24"/>
              </w:rPr>
              <w:t>Lancashire</w:t>
            </w:r>
          </w:p>
        </w:tc>
        <w:tc>
          <w:tcPr>
            <w:tcW w:w="1462" w:type="dxa"/>
          </w:tcPr>
          <w:p w:rsidR="004F6710" w:rsidRPr="00B848CD" w:rsidRDefault="004F6710" w:rsidP="007469EF">
            <w:pPr>
              <w:rPr>
                <w:rFonts w:ascii="Arial" w:hAnsi="Arial" w:cs="Arial"/>
                <w:b/>
                <w:sz w:val="24"/>
                <w:szCs w:val="24"/>
              </w:rPr>
            </w:pPr>
            <w:r w:rsidRPr="00B848CD">
              <w:rPr>
                <w:rFonts w:ascii="Arial" w:hAnsi="Arial" w:cs="Arial"/>
                <w:b/>
                <w:sz w:val="24"/>
                <w:szCs w:val="24"/>
              </w:rPr>
              <w:t xml:space="preserve">Total </w:t>
            </w:r>
          </w:p>
        </w:tc>
      </w:tr>
      <w:tr w:rsidR="004F6710" w:rsidRPr="00B848CD" w:rsidTr="004F6710">
        <w:trPr>
          <w:trHeight w:val="459"/>
        </w:trPr>
        <w:tc>
          <w:tcPr>
            <w:tcW w:w="2142" w:type="dxa"/>
          </w:tcPr>
          <w:p w:rsidR="004F6710" w:rsidRPr="00B848CD" w:rsidRDefault="004F6710" w:rsidP="007469EF">
            <w:pPr>
              <w:rPr>
                <w:rFonts w:ascii="Arial" w:hAnsi="Arial" w:cs="Arial"/>
                <w:sz w:val="24"/>
                <w:szCs w:val="24"/>
              </w:rPr>
            </w:pPr>
            <w:r w:rsidRPr="00B848CD">
              <w:rPr>
                <w:rFonts w:ascii="Arial" w:hAnsi="Arial" w:cs="Arial"/>
                <w:sz w:val="24"/>
                <w:szCs w:val="24"/>
              </w:rPr>
              <w:t xml:space="preserve">Advanced care </w:t>
            </w:r>
          </w:p>
        </w:tc>
        <w:tc>
          <w:tcPr>
            <w:tcW w:w="1798" w:type="dxa"/>
          </w:tcPr>
          <w:p w:rsidR="004F6710" w:rsidRPr="00B848CD" w:rsidRDefault="004F6710" w:rsidP="007469EF">
            <w:pPr>
              <w:rPr>
                <w:rFonts w:ascii="Arial" w:hAnsi="Arial" w:cs="Arial"/>
                <w:sz w:val="24"/>
                <w:szCs w:val="24"/>
              </w:rPr>
            </w:pPr>
            <w:r w:rsidRPr="00B848CD">
              <w:rPr>
                <w:rFonts w:ascii="Arial" w:hAnsi="Arial" w:cs="Arial"/>
                <w:sz w:val="24"/>
                <w:szCs w:val="24"/>
              </w:rPr>
              <w:t>36</w:t>
            </w:r>
          </w:p>
        </w:tc>
        <w:tc>
          <w:tcPr>
            <w:tcW w:w="1313" w:type="dxa"/>
          </w:tcPr>
          <w:p w:rsidR="004F6710" w:rsidRPr="00B848CD" w:rsidRDefault="004F6710" w:rsidP="007469EF">
            <w:pPr>
              <w:rPr>
                <w:rFonts w:ascii="Arial" w:hAnsi="Arial" w:cs="Arial"/>
                <w:sz w:val="24"/>
                <w:szCs w:val="24"/>
              </w:rPr>
            </w:pPr>
            <w:r w:rsidRPr="00B848CD">
              <w:rPr>
                <w:rFonts w:ascii="Arial" w:hAnsi="Arial" w:cs="Arial"/>
                <w:sz w:val="24"/>
                <w:szCs w:val="24"/>
              </w:rPr>
              <w:t>36</w:t>
            </w:r>
          </w:p>
        </w:tc>
        <w:tc>
          <w:tcPr>
            <w:tcW w:w="1276" w:type="dxa"/>
          </w:tcPr>
          <w:p w:rsidR="004F6710" w:rsidRPr="00B848CD" w:rsidRDefault="004F6710" w:rsidP="007469EF">
            <w:pPr>
              <w:rPr>
                <w:rFonts w:ascii="Arial" w:hAnsi="Arial" w:cs="Arial"/>
                <w:sz w:val="24"/>
                <w:szCs w:val="24"/>
              </w:rPr>
            </w:pPr>
          </w:p>
        </w:tc>
        <w:tc>
          <w:tcPr>
            <w:tcW w:w="1401" w:type="dxa"/>
          </w:tcPr>
          <w:p w:rsidR="004F6710" w:rsidRPr="00B848CD" w:rsidRDefault="004F6710" w:rsidP="007469EF">
            <w:pPr>
              <w:rPr>
                <w:rFonts w:ascii="Arial" w:hAnsi="Arial" w:cs="Arial"/>
                <w:sz w:val="24"/>
                <w:szCs w:val="24"/>
              </w:rPr>
            </w:pPr>
          </w:p>
        </w:tc>
        <w:tc>
          <w:tcPr>
            <w:tcW w:w="1462" w:type="dxa"/>
          </w:tcPr>
          <w:p w:rsidR="004F6710" w:rsidRPr="00B848CD" w:rsidRDefault="004F6710" w:rsidP="007469EF">
            <w:pPr>
              <w:rPr>
                <w:rFonts w:ascii="Arial" w:hAnsi="Arial" w:cs="Arial"/>
                <w:sz w:val="24"/>
                <w:szCs w:val="24"/>
              </w:rPr>
            </w:pPr>
            <w:r w:rsidRPr="00B848CD">
              <w:rPr>
                <w:rFonts w:ascii="Arial" w:hAnsi="Arial" w:cs="Arial"/>
                <w:sz w:val="24"/>
                <w:szCs w:val="24"/>
              </w:rPr>
              <w:t>72</w:t>
            </w:r>
          </w:p>
        </w:tc>
      </w:tr>
      <w:tr w:rsidR="004F6710" w:rsidRPr="00B848CD" w:rsidTr="004F6710">
        <w:trPr>
          <w:trHeight w:val="432"/>
        </w:trPr>
        <w:tc>
          <w:tcPr>
            <w:tcW w:w="2142" w:type="dxa"/>
          </w:tcPr>
          <w:p w:rsidR="004F6710" w:rsidRPr="00B848CD" w:rsidRDefault="004F6710" w:rsidP="007469EF">
            <w:pPr>
              <w:rPr>
                <w:rFonts w:ascii="Arial" w:hAnsi="Arial" w:cs="Arial"/>
                <w:sz w:val="24"/>
                <w:szCs w:val="24"/>
              </w:rPr>
            </w:pPr>
            <w:r w:rsidRPr="00B848CD">
              <w:rPr>
                <w:rFonts w:ascii="Arial" w:hAnsi="Arial" w:cs="Arial"/>
                <w:sz w:val="24"/>
                <w:szCs w:val="24"/>
              </w:rPr>
              <w:t xml:space="preserve">Functional </w:t>
            </w:r>
          </w:p>
        </w:tc>
        <w:tc>
          <w:tcPr>
            <w:tcW w:w="1798" w:type="dxa"/>
          </w:tcPr>
          <w:p w:rsidR="004F6710" w:rsidRPr="00B848CD" w:rsidRDefault="004F6710" w:rsidP="007469EF">
            <w:pPr>
              <w:rPr>
                <w:rFonts w:ascii="Arial" w:hAnsi="Arial" w:cs="Arial"/>
                <w:sz w:val="24"/>
                <w:szCs w:val="24"/>
              </w:rPr>
            </w:pPr>
            <w:r w:rsidRPr="00B848CD">
              <w:rPr>
                <w:rFonts w:ascii="Arial" w:hAnsi="Arial" w:cs="Arial"/>
                <w:sz w:val="24"/>
                <w:szCs w:val="24"/>
              </w:rPr>
              <w:t>72</w:t>
            </w:r>
          </w:p>
        </w:tc>
        <w:tc>
          <w:tcPr>
            <w:tcW w:w="1313" w:type="dxa"/>
          </w:tcPr>
          <w:p w:rsidR="004F6710" w:rsidRPr="00B848CD" w:rsidRDefault="004F6710" w:rsidP="007469EF">
            <w:pPr>
              <w:rPr>
                <w:rFonts w:ascii="Arial" w:hAnsi="Arial" w:cs="Arial"/>
                <w:sz w:val="24"/>
                <w:szCs w:val="24"/>
              </w:rPr>
            </w:pPr>
            <w:r w:rsidRPr="00B848CD">
              <w:rPr>
                <w:rFonts w:ascii="Arial" w:hAnsi="Arial" w:cs="Arial"/>
                <w:sz w:val="24"/>
                <w:szCs w:val="24"/>
              </w:rPr>
              <w:t>36</w:t>
            </w:r>
          </w:p>
        </w:tc>
        <w:tc>
          <w:tcPr>
            <w:tcW w:w="1276" w:type="dxa"/>
          </w:tcPr>
          <w:p w:rsidR="004F6710" w:rsidRPr="00B848CD" w:rsidRDefault="004F6710" w:rsidP="007469EF">
            <w:pPr>
              <w:rPr>
                <w:rFonts w:ascii="Arial" w:hAnsi="Arial" w:cs="Arial"/>
                <w:sz w:val="24"/>
                <w:szCs w:val="24"/>
              </w:rPr>
            </w:pPr>
            <w:r w:rsidRPr="00B848CD">
              <w:rPr>
                <w:rFonts w:ascii="Arial" w:hAnsi="Arial" w:cs="Arial"/>
                <w:sz w:val="24"/>
                <w:szCs w:val="24"/>
              </w:rPr>
              <w:t>18</w:t>
            </w:r>
          </w:p>
        </w:tc>
        <w:tc>
          <w:tcPr>
            <w:tcW w:w="1401" w:type="dxa"/>
          </w:tcPr>
          <w:p w:rsidR="004F6710" w:rsidRPr="00B848CD" w:rsidRDefault="004F6710" w:rsidP="007469EF">
            <w:pPr>
              <w:rPr>
                <w:rFonts w:ascii="Arial" w:hAnsi="Arial" w:cs="Arial"/>
                <w:sz w:val="24"/>
                <w:szCs w:val="24"/>
              </w:rPr>
            </w:pPr>
            <w:r w:rsidRPr="00B848CD">
              <w:rPr>
                <w:rFonts w:ascii="Arial" w:hAnsi="Arial" w:cs="Arial"/>
                <w:sz w:val="24"/>
                <w:szCs w:val="24"/>
              </w:rPr>
              <w:t>18</w:t>
            </w:r>
          </w:p>
        </w:tc>
        <w:tc>
          <w:tcPr>
            <w:tcW w:w="1462" w:type="dxa"/>
          </w:tcPr>
          <w:p w:rsidR="004F6710" w:rsidRPr="00B848CD" w:rsidRDefault="004F6710" w:rsidP="007469EF">
            <w:pPr>
              <w:rPr>
                <w:rFonts w:ascii="Arial" w:hAnsi="Arial" w:cs="Arial"/>
                <w:sz w:val="24"/>
                <w:szCs w:val="24"/>
              </w:rPr>
            </w:pPr>
            <w:r w:rsidRPr="00B848CD">
              <w:rPr>
                <w:rFonts w:ascii="Arial" w:hAnsi="Arial" w:cs="Arial"/>
                <w:sz w:val="24"/>
                <w:szCs w:val="24"/>
              </w:rPr>
              <w:t>144</w:t>
            </w:r>
          </w:p>
        </w:tc>
      </w:tr>
      <w:tr w:rsidR="004F6710" w:rsidRPr="00B848CD" w:rsidTr="004F6710">
        <w:trPr>
          <w:trHeight w:val="459"/>
        </w:trPr>
        <w:tc>
          <w:tcPr>
            <w:tcW w:w="2142" w:type="dxa"/>
          </w:tcPr>
          <w:p w:rsidR="004F6710" w:rsidRPr="00B848CD" w:rsidRDefault="004F6710" w:rsidP="007469EF">
            <w:pPr>
              <w:rPr>
                <w:rFonts w:ascii="Arial" w:hAnsi="Arial" w:cs="Arial"/>
                <w:sz w:val="24"/>
                <w:szCs w:val="24"/>
              </w:rPr>
            </w:pPr>
            <w:r w:rsidRPr="00B848CD">
              <w:rPr>
                <w:rFonts w:ascii="Arial" w:hAnsi="Arial" w:cs="Arial"/>
                <w:sz w:val="24"/>
                <w:szCs w:val="24"/>
              </w:rPr>
              <w:t>PICU*</w:t>
            </w:r>
          </w:p>
        </w:tc>
        <w:tc>
          <w:tcPr>
            <w:tcW w:w="1798" w:type="dxa"/>
          </w:tcPr>
          <w:p w:rsidR="004F6710" w:rsidRPr="00B848CD" w:rsidRDefault="004F6710" w:rsidP="007469EF">
            <w:pPr>
              <w:rPr>
                <w:rFonts w:ascii="Arial" w:hAnsi="Arial" w:cs="Arial"/>
                <w:sz w:val="24"/>
                <w:szCs w:val="24"/>
              </w:rPr>
            </w:pPr>
            <w:r w:rsidRPr="00B848CD">
              <w:rPr>
                <w:rFonts w:ascii="Arial" w:hAnsi="Arial" w:cs="Arial"/>
                <w:sz w:val="24"/>
                <w:szCs w:val="24"/>
              </w:rPr>
              <w:t>16</w:t>
            </w:r>
          </w:p>
        </w:tc>
        <w:tc>
          <w:tcPr>
            <w:tcW w:w="1313" w:type="dxa"/>
          </w:tcPr>
          <w:p w:rsidR="004F6710" w:rsidRPr="00B848CD" w:rsidRDefault="004F6710" w:rsidP="007469EF">
            <w:pPr>
              <w:rPr>
                <w:rFonts w:ascii="Arial" w:hAnsi="Arial" w:cs="Arial"/>
                <w:sz w:val="24"/>
                <w:szCs w:val="24"/>
              </w:rPr>
            </w:pPr>
          </w:p>
        </w:tc>
        <w:tc>
          <w:tcPr>
            <w:tcW w:w="1276" w:type="dxa"/>
          </w:tcPr>
          <w:p w:rsidR="004F6710" w:rsidRPr="00B848CD" w:rsidRDefault="004F6710" w:rsidP="007469EF">
            <w:pPr>
              <w:rPr>
                <w:rFonts w:ascii="Arial" w:hAnsi="Arial" w:cs="Arial"/>
                <w:sz w:val="24"/>
                <w:szCs w:val="24"/>
              </w:rPr>
            </w:pPr>
          </w:p>
        </w:tc>
        <w:tc>
          <w:tcPr>
            <w:tcW w:w="1401" w:type="dxa"/>
          </w:tcPr>
          <w:p w:rsidR="004F6710" w:rsidRPr="00B848CD" w:rsidRDefault="004F6710" w:rsidP="007469EF">
            <w:pPr>
              <w:rPr>
                <w:rFonts w:ascii="Arial" w:hAnsi="Arial" w:cs="Arial"/>
                <w:sz w:val="24"/>
                <w:szCs w:val="24"/>
              </w:rPr>
            </w:pPr>
          </w:p>
        </w:tc>
        <w:tc>
          <w:tcPr>
            <w:tcW w:w="1462" w:type="dxa"/>
          </w:tcPr>
          <w:p w:rsidR="004F6710" w:rsidRPr="00B848CD" w:rsidRDefault="004F6710" w:rsidP="007469EF">
            <w:pPr>
              <w:rPr>
                <w:rFonts w:ascii="Arial" w:hAnsi="Arial" w:cs="Arial"/>
                <w:sz w:val="24"/>
                <w:szCs w:val="24"/>
              </w:rPr>
            </w:pPr>
            <w:r w:rsidRPr="00B848CD">
              <w:rPr>
                <w:rFonts w:ascii="Arial" w:hAnsi="Arial" w:cs="Arial"/>
                <w:sz w:val="24"/>
                <w:szCs w:val="24"/>
              </w:rPr>
              <w:t>16</w:t>
            </w:r>
          </w:p>
        </w:tc>
      </w:tr>
      <w:tr w:rsidR="004F6710" w:rsidRPr="00B848CD" w:rsidTr="004F6710">
        <w:trPr>
          <w:trHeight w:val="432"/>
        </w:trPr>
        <w:tc>
          <w:tcPr>
            <w:tcW w:w="2142" w:type="dxa"/>
          </w:tcPr>
          <w:p w:rsidR="004F6710" w:rsidRPr="00B848CD" w:rsidRDefault="004F6710" w:rsidP="007469EF">
            <w:pPr>
              <w:rPr>
                <w:rFonts w:ascii="Arial" w:hAnsi="Arial" w:cs="Arial"/>
                <w:sz w:val="24"/>
                <w:szCs w:val="24"/>
              </w:rPr>
            </w:pPr>
            <w:r w:rsidRPr="00B848CD">
              <w:rPr>
                <w:rFonts w:ascii="Arial" w:hAnsi="Arial" w:cs="Arial"/>
                <w:sz w:val="24"/>
                <w:szCs w:val="24"/>
              </w:rPr>
              <w:t xml:space="preserve">Dementia </w:t>
            </w:r>
          </w:p>
        </w:tc>
        <w:tc>
          <w:tcPr>
            <w:tcW w:w="1798" w:type="dxa"/>
          </w:tcPr>
          <w:p w:rsidR="004F6710" w:rsidRPr="00B848CD" w:rsidRDefault="004F6710" w:rsidP="007469EF">
            <w:pPr>
              <w:rPr>
                <w:rFonts w:ascii="Arial" w:hAnsi="Arial" w:cs="Arial"/>
                <w:sz w:val="24"/>
                <w:szCs w:val="24"/>
              </w:rPr>
            </w:pPr>
            <w:r w:rsidRPr="00B848CD">
              <w:rPr>
                <w:rFonts w:ascii="Arial" w:hAnsi="Arial" w:cs="Arial"/>
                <w:sz w:val="24"/>
                <w:szCs w:val="24"/>
              </w:rPr>
              <w:t>30</w:t>
            </w:r>
          </w:p>
        </w:tc>
        <w:tc>
          <w:tcPr>
            <w:tcW w:w="1313" w:type="dxa"/>
          </w:tcPr>
          <w:p w:rsidR="004F6710" w:rsidRPr="00B848CD" w:rsidRDefault="004F6710" w:rsidP="007469EF">
            <w:pPr>
              <w:rPr>
                <w:rFonts w:ascii="Arial" w:hAnsi="Arial" w:cs="Arial"/>
                <w:sz w:val="24"/>
                <w:szCs w:val="24"/>
              </w:rPr>
            </w:pPr>
          </w:p>
        </w:tc>
        <w:tc>
          <w:tcPr>
            <w:tcW w:w="1276" w:type="dxa"/>
          </w:tcPr>
          <w:p w:rsidR="004F6710" w:rsidRPr="00B848CD" w:rsidRDefault="004F6710" w:rsidP="007469EF">
            <w:pPr>
              <w:rPr>
                <w:rFonts w:ascii="Arial" w:hAnsi="Arial" w:cs="Arial"/>
                <w:sz w:val="24"/>
                <w:szCs w:val="24"/>
              </w:rPr>
            </w:pPr>
          </w:p>
        </w:tc>
        <w:tc>
          <w:tcPr>
            <w:tcW w:w="1401" w:type="dxa"/>
          </w:tcPr>
          <w:p w:rsidR="004F6710" w:rsidRPr="00B848CD" w:rsidRDefault="004F6710" w:rsidP="007469EF">
            <w:pPr>
              <w:rPr>
                <w:rFonts w:ascii="Arial" w:hAnsi="Arial" w:cs="Arial"/>
                <w:sz w:val="24"/>
                <w:szCs w:val="24"/>
              </w:rPr>
            </w:pPr>
          </w:p>
        </w:tc>
        <w:tc>
          <w:tcPr>
            <w:tcW w:w="1462" w:type="dxa"/>
          </w:tcPr>
          <w:p w:rsidR="004F6710" w:rsidRPr="00B848CD" w:rsidRDefault="004F6710" w:rsidP="007469EF">
            <w:pPr>
              <w:rPr>
                <w:rFonts w:ascii="Arial" w:hAnsi="Arial" w:cs="Arial"/>
                <w:sz w:val="24"/>
                <w:szCs w:val="24"/>
              </w:rPr>
            </w:pPr>
            <w:r w:rsidRPr="00B848CD">
              <w:rPr>
                <w:rFonts w:ascii="Arial" w:hAnsi="Arial" w:cs="Arial"/>
                <w:sz w:val="24"/>
                <w:szCs w:val="24"/>
              </w:rPr>
              <w:t>30</w:t>
            </w:r>
          </w:p>
        </w:tc>
      </w:tr>
      <w:tr w:rsidR="004F6710" w:rsidRPr="00B848CD" w:rsidTr="004F6710">
        <w:trPr>
          <w:trHeight w:val="487"/>
        </w:trPr>
        <w:tc>
          <w:tcPr>
            <w:tcW w:w="2142" w:type="dxa"/>
          </w:tcPr>
          <w:p w:rsidR="004F6710" w:rsidRPr="00B848CD" w:rsidRDefault="004F6710" w:rsidP="007469EF">
            <w:pPr>
              <w:rPr>
                <w:rFonts w:ascii="Arial" w:hAnsi="Arial" w:cs="Arial"/>
                <w:sz w:val="24"/>
                <w:szCs w:val="24"/>
              </w:rPr>
            </w:pPr>
          </w:p>
        </w:tc>
        <w:tc>
          <w:tcPr>
            <w:tcW w:w="1798" w:type="dxa"/>
          </w:tcPr>
          <w:p w:rsidR="004F6710" w:rsidRPr="00B848CD" w:rsidRDefault="004F6710" w:rsidP="007469EF">
            <w:pPr>
              <w:rPr>
                <w:rFonts w:ascii="Arial" w:hAnsi="Arial" w:cs="Arial"/>
                <w:b/>
                <w:sz w:val="24"/>
                <w:szCs w:val="24"/>
              </w:rPr>
            </w:pPr>
            <w:r w:rsidRPr="00B848CD">
              <w:rPr>
                <w:rFonts w:ascii="Arial" w:hAnsi="Arial" w:cs="Arial"/>
                <w:b/>
                <w:sz w:val="24"/>
                <w:szCs w:val="24"/>
              </w:rPr>
              <w:t>154</w:t>
            </w:r>
          </w:p>
        </w:tc>
        <w:tc>
          <w:tcPr>
            <w:tcW w:w="1313" w:type="dxa"/>
          </w:tcPr>
          <w:p w:rsidR="004F6710" w:rsidRPr="00B848CD" w:rsidRDefault="004F6710" w:rsidP="007469EF">
            <w:pPr>
              <w:rPr>
                <w:rFonts w:ascii="Arial" w:hAnsi="Arial" w:cs="Arial"/>
                <w:b/>
                <w:sz w:val="24"/>
                <w:szCs w:val="24"/>
              </w:rPr>
            </w:pPr>
            <w:r w:rsidRPr="00B848CD">
              <w:rPr>
                <w:rFonts w:ascii="Arial" w:hAnsi="Arial" w:cs="Arial"/>
                <w:b/>
                <w:sz w:val="24"/>
                <w:szCs w:val="24"/>
              </w:rPr>
              <w:t>72</w:t>
            </w:r>
          </w:p>
        </w:tc>
        <w:tc>
          <w:tcPr>
            <w:tcW w:w="1276" w:type="dxa"/>
          </w:tcPr>
          <w:p w:rsidR="004F6710" w:rsidRPr="00B848CD" w:rsidRDefault="004F6710" w:rsidP="007469EF">
            <w:pPr>
              <w:rPr>
                <w:rFonts w:ascii="Arial" w:hAnsi="Arial" w:cs="Arial"/>
                <w:b/>
                <w:sz w:val="24"/>
                <w:szCs w:val="24"/>
              </w:rPr>
            </w:pPr>
            <w:r w:rsidRPr="00B848CD">
              <w:rPr>
                <w:rFonts w:ascii="Arial" w:hAnsi="Arial" w:cs="Arial"/>
                <w:b/>
                <w:sz w:val="24"/>
                <w:szCs w:val="24"/>
              </w:rPr>
              <w:t>18</w:t>
            </w:r>
          </w:p>
        </w:tc>
        <w:tc>
          <w:tcPr>
            <w:tcW w:w="1401" w:type="dxa"/>
          </w:tcPr>
          <w:p w:rsidR="004F6710" w:rsidRPr="00B848CD" w:rsidRDefault="004F6710" w:rsidP="007469EF">
            <w:pPr>
              <w:rPr>
                <w:rFonts w:ascii="Arial" w:hAnsi="Arial" w:cs="Arial"/>
                <w:b/>
                <w:sz w:val="24"/>
                <w:szCs w:val="24"/>
              </w:rPr>
            </w:pPr>
            <w:r w:rsidRPr="00B848CD">
              <w:rPr>
                <w:rFonts w:ascii="Arial" w:hAnsi="Arial" w:cs="Arial"/>
                <w:b/>
                <w:sz w:val="24"/>
                <w:szCs w:val="24"/>
              </w:rPr>
              <w:t>18</w:t>
            </w:r>
          </w:p>
        </w:tc>
        <w:tc>
          <w:tcPr>
            <w:tcW w:w="1462" w:type="dxa"/>
          </w:tcPr>
          <w:p w:rsidR="004F6710" w:rsidRPr="00B848CD" w:rsidRDefault="004F6710" w:rsidP="007469EF">
            <w:pPr>
              <w:rPr>
                <w:rFonts w:ascii="Arial" w:hAnsi="Arial" w:cs="Arial"/>
                <w:b/>
                <w:sz w:val="24"/>
                <w:szCs w:val="24"/>
              </w:rPr>
            </w:pPr>
            <w:r w:rsidRPr="00B848CD">
              <w:rPr>
                <w:rFonts w:ascii="Arial" w:hAnsi="Arial" w:cs="Arial"/>
                <w:b/>
                <w:sz w:val="24"/>
                <w:szCs w:val="24"/>
              </w:rPr>
              <w:t>262</w:t>
            </w:r>
          </w:p>
        </w:tc>
      </w:tr>
    </w:tbl>
    <w:p w:rsidR="00A961E0" w:rsidRPr="00B848CD" w:rsidRDefault="00A961E0" w:rsidP="007469EF">
      <w:pPr>
        <w:rPr>
          <w:rFonts w:ascii="Arial" w:hAnsi="Arial" w:cs="Arial"/>
        </w:rPr>
      </w:pPr>
    </w:p>
    <w:p w:rsidR="00731C78" w:rsidRPr="00B848CD" w:rsidRDefault="00731C78" w:rsidP="007469EF">
      <w:pPr>
        <w:rPr>
          <w:rFonts w:ascii="Arial" w:hAnsi="Arial" w:cs="Arial"/>
        </w:rPr>
      </w:pPr>
      <w:r w:rsidRPr="00B848CD">
        <w:rPr>
          <w:rFonts w:ascii="Arial" w:hAnsi="Arial" w:cs="Arial"/>
        </w:rPr>
        <w:t>*PICU – Psychiatric Intensive Care Unit.</w:t>
      </w:r>
    </w:p>
    <w:p w:rsidR="00A961E0" w:rsidRPr="00B848CD" w:rsidRDefault="00A961E0" w:rsidP="007469EF">
      <w:pPr>
        <w:rPr>
          <w:rFonts w:ascii="Arial" w:hAnsi="Arial" w:cs="Arial"/>
        </w:rPr>
      </w:pPr>
    </w:p>
    <w:p w:rsidR="00B848CD" w:rsidRPr="00B848CD" w:rsidRDefault="00B848CD" w:rsidP="007469EF">
      <w:pPr>
        <w:rPr>
          <w:rFonts w:ascii="Arial" w:hAnsi="Arial" w:cs="Arial"/>
        </w:rPr>
      </w:pPr>
    </w:p>
    <w:p w:rsidR="00B848CD" w:rsidRPr="00B848CD" w:rsidRDefault="00B848CD" w:rsidP="007469EF">
      <w:pPr>
        <w:rPr>
          <w:rFonts w:ascii="Arial" w:hAnsi="Arial" w:cs="Arial"/>
        </w:rPr>
      </w:pPr>
    </w:p>
    <w:p w:rsidR="00B848CD" w:rsidRPr="00B848CD" w:rsidRDefault="00B848CD" w:rsidP="007469EF">
      <w:pPr>
        <w:rPr>
          <w:rFonts w:ascii="Arial" w:hAnsi="Arial" w:cs="Arial"/>
        </w:rPr>
      </w:pPr>
    </w:p>
    <w:p w:rsidR="007469EF" w:rsidRPr="00B848CD" w:rsidRDefault="003F4DE9" w:rsidP="007469EF">
      <w:pPr>
        <w:rPr>
          <w:rFonts w:ascii="Arial" w:hAnsi="Arial" w:cs="Arial"/>
        </w:rPr>
      </w:pPr>
      <w:r w:rsidRPr="00B848CD">
        <w:rPr>
          <w:rFonts w:ascii="Arial" w:hAnsi="Arial" w:cs="Arial"/>
        </w:rPr>
        <w:lastRenderedPageBreak/>
        <w:t xml:space="preserve">In </w:t>
      </w:r>
      <w:r w:rsidRPr="00B848CD">
        <w:rPr>
          <w:rFonts w:ascii="Arial" w:hAnsi="Arial" w:cs="Arial"/>
          <w:b/>
        </w:rPr>
        <w:t>Phase 1</w:t>
      </w:r>
      <w:r w:rsidRPr="00B848CD">
        <w:rPr>
          <w:rFonts w:ascii="Arial" w:hAnsi="Arial" w:cs="Arial"/>
        </w:rPr>
        <w:t xml:space="preserve"> of the transition plan the </w:t>
      </w:r>
      <w:r w:rsidR="007469EF" w:rsidRPr="00B848CD">
        <w:rPr>
          <w:rFonts w:ascii="Arial" w:hAnsi="Arial" w:cs="Arial"/>
        </w:rPr>
        <w:t>following inpatient services</w:t>
      </w:r>
      <w:r w:rsidR="00192497" w:rsidRPr="00B848CD">
        <w:rPr>
          <w:rFonts w:ascii="Arial" w:hAnsi="Arial" w:cs="Arial"/>
        </w:rPr>
        <w:t xml:space="preserve"> closed</w:t>
      </w:r>
      <w:r w:rsidRPr="00B848CD">
        <w:rPr>
          <w:rFonts w:ascii="Arial" w:hAnsi="Arial" w:cs="Arial"/>
        </w:rPr>
        <w:t>:</w:t>
      </w:r>
    </w:p>
    <w:p w:rsidR="007469EF" w:rsidRPr="00B848CD" w:rsidRDefault="007469EF" w:rsidP="007469E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2997"/>
        <w:gridCol w:w="2809"/>
      </w:tblGrid>
      <w:tr w:rsidR="007469EF" w:rsidRPr="00B848CD" w:rsidTr="007469EF">
        <w:trPr>
          <w:trHeight w:val="251"/>
        </w:trPr>
        <w:tc>
          <w:tcPr>
            <w:tcW w:w="3313" w:type="dxa"/>
            <w:shd w:val="clear" w:color="auto" w:fill="auto"/>
          </w:tcPr>
          <w:p w:rsidR="007469EF" w:rsidRPr="00B848CD" w:rsidRDefault="007469EF" w:rsidP="007469EF">
            <w:pPr>
              <w:rPr>
                <w:rFonts w:ascii="Arial" w:hAnsi="Arial" w:cs="Arial"/>
                <w:b/>
              </w:rPr>
            </w:pPr>
            <w:r w:rsidRPr="00B848CD">
              <w:rPr>
                <w:rFonts w:ascii="Arial" w:hAnsi="Arial" w:cs="Arial"/>
                <w:b/>
              </w:rPr>
              <w:t>Ward Name</w:t>
            </w:r>
          </w:p>
        </w:tc>
        <w:tc>
          <w:tcPr>
            <w:tcW w:w="2997" w:type="dxa"/>
            <w:shd w:val="clear" w:color="auto" w:fill="auto"/>
          </w:tcPr>
          <w:p w:rsidR="007469EF" w:rsidRPr="00B848CD" w:rsidRDefault="007469EF" w:rsidP="007469EF">
            <w:pPr>
              <w:rPr>
                <w:rFonts w:ascii="Arial" w:hAnsi="Arial" w:cs="Arial"/>
                <w:b/>
              </w:rPr>
            </w:pPr>
            <w:r w:rsidRPr="00B848CD">
              <w:rPr>
                <w:rFonts w:ascii="Arial" w:hAnsi="Arial" w:cs="Arial"/>
                <w:b/>
              </w:rPr>
              <w:t>Client Group</w:t>
            </w:r>
          </w:p>
        </w:tc>
        <w:tc>
          <w:tcPr>
            <w:tcW w:w="2809" w:type="dxa"/>
            <w:shd w:val="clear" w:color="auto" w:fill="auto"/>
          </w:tcPr>
          <w:p w:rsidR="007469EF" w:rsidRPr="00B848CD" w:rsidRDefault="007469EF" w:rsidP="007469EF">
            <w:pPr>
              <w:rPr>
                <w:rFonts w:ascii="Arial" w:hAnsi="Arial" w:cs="Arial"/>
                <w:b/>
              </w:rPr>
            </w:pPr>
            <w:r w:rsidRPr="00B848CD">
              <w:rPr>
                <w:rFonts w:ascii="Arial" w:hAnsi="Arial" w:cs="Arial"/>
                <w:b/>
              </w:rPr>
              <w:t>Location</w:t>
            </w:r>
          </w:p>
        </w:tc>
      </w:tr>
      <w:tr w:rsidR="007469EF" w:rsidRPr="00B848CD" w:rsidTr="003F4DE9">
        <w:trPr>
          <w:trHeight w:val="356"/>
        </w:trPr>
        <w:tc>
          <w:tcPr>
            <w:tcW w:w="3313" w:type="dxa"/>
            <w:shd w:val="clear" w:color="auto" w:fill="auto"/>
          </w:tcPr>
          <w:p w:rsidR="007469EF" w:rsidRPr="00B848CD" w:rsidRDefault="00731C78" w:rsidP="00731C78">
            <w:pPr>
              <w:rPr>
                <w:rFonts w:ascii="Arial" w:hAnsi="Arial" w:cs="Arial"/>
              </w:rPr>
            </w:pPr>
            <w:r w:rsidRPr="00B848CD">
              <w:rPr>
                <w:rFonts w:ascii="Arial" w:hAnsi="Arial" w:cs="Arial"/>
              </w:rPr>
              <w:t>L2 Hillview</w:t>
            </w:r>
          </w:p>
        </w:tc>
        <w:tc>
          <w:tcPr>
            <w:tcW w:w="2997" w:type="dxa"/>
            <w:shd w:val="clear" w:color="auto" w:fill="auto"/>
          </w:tcPr>
          <w:p w:rsidR="007469EF" w:rsidRPr="00B848CD" w:rsidRDefault="007469EF" w:rsidP="007469EF">
            <w:pPr>
              <w:rPr>
                <w:rFonts w:ascii="Arial" w:hAnsi="Arial" w:cs="Arial"/>
              </w:rPr>
            </w:pPr>
            <w:r w:rsidRPr="00B848CD">
              <w:rPr>
                <w:rFonts w:ascii="Arial" w:hAnsi="Arial" w:cs="Arial"/>
              </w:rPr>
              <w:t>Older Adult Dementia</w:t>
            </w:r>
          </w:p>
        </w:tc>
        <w:tc>
          <w:tcPr>
            <w:tcW w:w="2809" w:type="dxa"/>
            <w:shd w:val="clear" w:color="auto" w:fill="auto"/>
          </w:tcPr>
          <w:p w:rsidR="007469EF" w:rsidRPr="00B848CD" w:rsidRDefault="007469EF" w:rsidP="007469EF">
            <w:pPr>
              <w:rPr>
                <w:rFonts w:ascii="Arial" w:hAnsi="Arial" w:cs="Arial"/>
              </w:rPr>
            </w:pPr>
            <w:r w:rsidRPr="00B848CD">
              <w:rPr>
                <w:rFonts w:ascii="Arial" w:hAnsi="Arial" w:cs="Arial"/>
              </w:rPr>
              <w:t>Royal Blackburn Hospital</w:t>
            </w:r>
          </w:p>
        </w:tc>
      </w:tr>
      <w:tr w:rsidR="007469EF" w:rsidRPr="00B848CD" w:rsidTr="003F4DE9">
        <w:trPr>
          <w:trHeight w:val="561"/>
        </w:trPr>
        <w:tc>
          <w:tcPr>
            <w:tcW w:w="3313" w:type="dxa"/>
            <w:shd w:val="clear" w:color="auto" w:fill="auto"/>
          </w:tcPr>
          <w:p w:rsidR="007469EF" w:rsidRPr="00B848CD" w:rsidRDefault="00731C78" w:rsidP="00731C78">
            <w:pPr>
              <w:rPr>
                <w:rFonts w:ascii="Arial" w:hAnsi="Arial" w:cs="Arial"/>
              </w:rPr>
            </w:pPr>
            <w:r w:rsidRPr="00B848CD">
              <w:rPr>
                <w:rFonts w:ascii="Arial" w:hAnsi="Arial" w:cs="Arial"/>
              </w:rPr>
              <w:t>Bickerstaffe</w:t>
            </w:r>
          </w:p>
        </w:tc>
        <w:tc>
          <w:tcPr>
            <w:tcW w:w="2997" w:type="dxa"/>
            <w:shd w:val="clear" w:color="auto" w:fill="auto"/>
          </w:tcPr>
          <w:p w:rsidR="007469EF" w:rsidRPr="00B848CD" w:rsidRDefault="007469EF" w:rsidP="007469EF">
            <w:pPr>
              <w:rPr>
                <w:rFonts w:ascii="Arial" w:hAnsi="Arial" w:cs="Arial"/>
              </w:rPr>
            </w:pPr>
            <w:r w:rsidRPr="00B848CD">
              <w:rPr>
                <w:rFonts w:ascii="Arial" w:hAnsi="Arial" w:cs="Arial"/>
              </w:rPr>
              <w:t>Functional High Needs and Older Adult Dementia</w:t>
            </w:r>
          </w:p>
        </w:tc>
        <w:tc>
          <w:tcPr>
            <w:tcW w:w="2809" w:type="dxa"/>
            <w:shd w:val="clear" w:color="auto" w:fill="auto"/>
          </w:tcPr>
          <w:p w:rsidR="007469EF" w:rsidRPr="00B848CD" w:rsidRDefault="00731C78" w:rsidP="007469EF">
            <w:pPr>
              <w:rPr>
                <w:rFonts w:ascii="Arial" w:hAnsi="Arial" w:cs="Arial"/>
              </w:rPr>
            </w:pPr>
            <w:r w:rsidRPr="00B848CD">
              <w:rPr>
                <w:rFonts w:ascii="Arial" w:hAnsi="Arial" w:cs="Arial"/>
              </w:rPr>
              <w:t>Ormskirk</w:t>
            </w:r>
          </w:p>
          <w:p w:rsidR="007469EF" w:rsidRPr="00B848CD" w:rsidRDefault="007469EF" w:rsidP="007469EF">
            <w:pPr>
              <w:rPr>
                <w:rFonts w:ascii="Arial" w:hAnsi="Arial" w:cs="Arial"/>
              </w:rPr>
            </w:pPr>
            <w:r w:rsidRPr="00B848CD">
              <w:rPr>
                <w:rFonts w:ascii="Arial" w:hAnsi="Arial" w:cs="Arial"/>
              </w:rPr>
              <w:t>West Lancashire</w:t>
            </w:r>
          </w:p>
        </w:tc>
      </w:tr>
      <w:tr w:rsidR="007469EF" w:rsidRPr="00B848CD" w:rsidTr="003E0883">
        <w:trPr>
          <w:trHeight w:val="552"/>
        </w:trPr>
        <w:tc>
          <w:tcPr>
            <w:tcW w:w="3313" w:type="dxa"/>
            <w:shd w:val="clear" w:color="auto" w:fill="auto"/>
          </w:tcPr>
          <w:p w:rsidR="007469EF" w:rsidRPr="00B848CD" w:rsidRDefault="00731C78" w:rsidP="007469EF">
            <w:pPr>
              <w:rPr>
                <w:rFonts w:ascii="Arial" w:hAnsi="Arial" w:cs="Arial"/>
              </w:rPr>
            </w:pPr>
            <w:r w:rsidRPr="00B848CD">
              <w:rPr>
                <w:rFonts w:ascii="Arial" w:hAnsi="Arial" w:cs="Arial"/>
              </w:rPr>
              <w:t>Stirling</w:t>
            </w:r>
          </w:p>
        </w:tc>
        <w:tc>
          <w:tcPr>
            <w:tcW w:w="2997" w:type="dxa"/>
            <w:shd w:val="clear" w:color="auto" w:fill="auto"/>
          </w:tcPr>
          <w:p w:rsidR="007469EF" w:rsidRPr="00B848CD" w:rsidRDefault="007469EF" w:rsidP="008C6648">
            <w:pPr>
              <w:rPr>
                <w:rFonts w:ascii="Arial" w:hAnsi="Arial" w:cs="Arial"/>
              </w:rPr>
            </w:pPr>
            <w:r w:rsidRPr="00B848CD">
              <w:rPr>
                <w:rFonts w:ascii="Arial" w:hAnsi="Arial" w:cs="Arial"/>
              </w:rPr>
              <w:t>Adult</w:t>
            </w:r>
            <w:r w:rsidR="008C6648" w:rsidRPr="00B848CD">
              <w:rPr>
                <w:rFonts w:ascii="Arial" w:hAnsi="Arial" w:cs="Arial"/>
              </w:rPr>
              <w:t xml:space="preserve"> F</w:t>
            </w:r>
            <w:r w:rsidR="002F3175" w:rsidRPr="00B848CD">
              <w:rPr>
                <w:rFonts w:ascii="Arial" w:hAnsi="Arial" w:cs="Arial"/>
              </w:rPr>
              <w:t xml:space="preserve">unctional </w:t>
            </w:r>
            <w:r w:rsidR="008C6648" w:rsidRPr="00B848CD">
              <w:rPr>
                <w:rFonts w:ascii="Arial" w:hAnsi="Arial" w:cs="Arial"/>
              </w:rPr>
              <w:t>F</w:t>
            </w:r>
            <w:r w:rsidRPr="00B848CD">
              <w:rPr>
                <w:rFonts w:ascii="Arial" w:hAnsi="Arial" w:cs="Arial"/>
              </w:rPr>
              <w:t>emale</w:t>
            </w:r>
          </w:p>
        </w:tc>
        <w:tc>
          <w:tcPr>
            <w:tcW w:w="2809" w:type="dxa"/>
            <w:shd w:val="clear" w:color="auto" w:fill="auto"/>
          </w:tcPr>
          <w:p w:rsidR="007469EF" w:rsidRPr="00B848CD" w:rsidRDefault="007469EF" w:rsidP="007469EF">
            <w:pPr>
              <w:rPr>
                <w:rFonts w:ascii="Arial" w:hAnsi="Arial" w:cs="Arial"/>
              </w:rPr>
            </w:pPr>
            <w:r w:rsidRPr="00B848CD">
              <w:rPr>
                <w:rFonts w:ascii="Arial" w:hAnsi="Arial" w:cs="Arial"/>
              </w:rPr>
              <w:t>Parkwood Hospital Blackpool</w:t>
            </w:r>
          </w:p>
        </w:tc>
      </w:tr>
      <w:tr w:rsidR="007469EF" w:rsidRPr="00B848CD" w:rsidTr="007469EF">
        <w:trPr>
          <w:trHeight w:val="502"/>
        </w:trPr>
        <w:tc>
          <w:tcPr>
            <w:tcW w:w="3313" w:type="dxa"/>
            <w:shd w:val="clear" w:color="auto" w:fill="auto"/>
          </w:tcPr>
          <w:p w:rsidR="007469EF" w:rsidRPr="00B848CD" w:rsidRDefault="00731C78" w:rsidP="00731C78">
            <w:pPr>
              <w:rPr>
                <w:rFonts w:ascii="Arial" w:hAnsi="Arial" w:cs="Arial"/>
              </w:rPr>
            </w:pPr>
            <w:r w:rsidRPr="00B848CD">
              <w:rPr>
                <w:rFonts w:ascii="Arial" w:hAnsi="Arial" w:cs="Arial"/>
              </w:rPr>
              <w:t>L3 Hillview</w:t>
            </w:r>
          </w:p>
        </w:tc>
        <w:tc>
          <w:tcPr>
            <w:tcW w:w="2997" w:type="dxa"/>
            <w:shd w:val="clear" w:color="auto" w:fill="auto"/>
          </w:tcPr>
          <w:p w:rsidR="007469EF" w:rsidRPr="00B848CD" w:rsidRDefault="007469EF" w:rsidP="007469EF">
            <w:pPr>
              <w:rPr>
                <w:rFonts w:ascii="Arial" w:hAnsi="Arial" w:cs="Arial"/>
              </w:rPr>
            </w:pPr>
            <w:r w:rsidRPr="00B848CD">
              <w:rPr>
                <w:rFonts w:ascii="Arial" w:hAnsi="Arial" w:cs="Arial"/>
              </w:rPr>
              <w:t>Older Adult- High Needs Functional</w:t>
            </w:r>
          </w:p>
        </w:tc>
        <w:tc>
          <w:tcPr>
            <w:tcW w:w="2809" w:type="dxa"/>
            <w:shd w:val="clear" w:color="auto" w:fill="auto"/>
          </w:tcPr>
          <w:p w:rsidR="007469EF" w:rsidRPr="00B848CD" w:rsidRDefault="007469EF" w:rsidP="007469EF">
            <w:pPr>
              <w:rPr>
                <w:rFonts w:ascii="Arial" w:hAnsi="Arial" w:cs="Arial"/>
              </w:rPr>
            </w:pPr>
            <w:r w:rsidRPr="00B848CD">
              <w:rPr>
                <w:rFonts w:ascii="Arial" w:hAnsi="Arial" w:cs="Arial"/>
              </w:rPr>
              <w:t>Royal Blackburn Hospital</w:t>
            </w:r>
          </w:p>
        </w:tc>
      </w:tr>
      <w:tr w:rsidR="00192497" w:rsidRPr="00B848CD" w:rsidTr="007469EF">
        <w:trPr>
          <w:trHeight w:val="502"/>
        </w:trPr>
        <w:tc>
          <w:tcPr>
            <w:tcW w:w="3313" w:type="dxa"/>
            <w:shd w:val="clear" w:color="auto" w:fill="auto"/>
          </w:tcPr>
          <w:p w:rsidR="00192497" w:rsidRPr="00B848CD" w:rsidRDefault="00192497" w:rsidP="00731C78">
            <w:pPr>
              <w:rPr>
                <w:rFonts w:ascii="Arial" w:hAnsi="Arial" w:cs="Arial"/>
              </w:rPr>
            </w:pPr>
            <w:r w:rsidRPr="00B848CD">
              <w:rPr>
                <w:rFonts w:ascii="Arial" w:hAnsi="Arial" w:cs="Arial"/>
              </w:rPr>
              <w:t xml:space="preserve">Warwick Ward </w:t>
            </w:r>
          </w:p>
        </w:tc>
        <w:tc>
          <w:tcPr>
            <w:tcW w:w="2997" w:type="dxa"/>
            <w:shd w:val="clear" w:color="auto" w:fill="auto"/>
          </w:tcPr>
          <w:p w:rsidR="00192497" w:rsidRPr="00B848CD" w:rsidRDefault="00AA75F1" w:rsidP="007469EF">
            <w:pPr>
              <w:rPr>
                <w:rFonts w:ascii="Arial" w:hAnsi="Arial" w:cs="Arial"/>
              </w:rPr>
            </w:pPr>
            <w:r w:rsidRPr="00B848CD">
              <w:rPr>
                <w:rFonts w:ascii="Arial" w:hAnsi="Arial" w:cs="Arial"/>
              </w:rPr>
              <w:t xml:space="preserve">Functional Male </w:t>
            </w:r>
          </w:p>
        </w:tc>
        <w:tc>
          <w:tcPr>
            <w:tcW w:w="2809" w:type="dxa"/>
            <w:shd w:val="clear" w:color="auto" w:fill="auto"/>
          </w:tcPr>
          <w:p w:rsidR="00192497" w:rsidRPr="00B848CD" w:rsidRDefault="00192497" w:rsidP="007469EF">
            <w:pPr>
              <w:rPr>
                <w:rFonts w:ascii="Arial" w:hAnsi="Arial" w:cs="Arial"/>
              </w:rPr>
            </w:pPr>
            <w:r w:rsidRPr="00B848CD">
              <w:rPr>
                <w:rFonts w:ascii="Arial" w:hAnsi="Arial" w:cs="Arial"/>
              </w:rPr>
              <w:t xml:space="preserve">Parkwood Hospital </w:t>
            </w:r>
          </w:p>
          <w:p w:rsidR="00192497" w:rsidRPr="00B848CD" w:rsidRDefault="00192497" w:rsidP="007469EF">
            <w:pPr>
              <w:rPr>
                <w:rFonts w:ascii="Arial" w:hAnsi="Arial" w:cs="Arial"/>
              </w:rPr>
            </w:pPr>
            <w:r w:rsidRPr="00B848CD">
              <w:rPr>
                <w:rFonts w:ascii="Arial" w:hAnsi="Arial" w:cs="Arial"/>
              </w:rPr>
              <w:t xml:space="preserve">Blackpool </w:t>
            </w:r>
          </w:p>
        </w:tc>
      </w:tr>
    </w:tbl>
    <w:p w:rsidR="007469EF" w:rsidRPr="00B848CD" w:rsidRDefault="007469EF" w:rsidP="007469EF">
      <w:pPr>
        <w:rPr>
          <w:rFonts w:ascii="Arial" w:hAnsi="Arial" w:cs="Arial"/>
        </w:rPr>
      </w:pPr>
    </w:p>
    <w:p w:rsidR="00731C78" w:rsidRPr="00B848CD" w:rsidRDefault="007469EF" w:rsidP="00731C78">
      <w:pPr>
        <w:rPr>
          <w:rFonts w:ascii="Arial" w:hAnsi="Arial" w:cs="Arial"/>
        </w:rPr>
      </w:pPr>
      <w:r w:rsidRPr="00B848CD">
        <w:rPr>
          <w:rFonts w:ascii="Arial" w:hAnsi="Arial" w:cs="Arial"/>
        </w:rPr>
        <w:t>The Trust would like to give assurance to members that the de-commissioni</w:t>
      </w:r>
      <w:r w:rsidR="00D632AD" w:rsidRPr="00B848CD">
        <w:rPr>
          <w:rFonts w:ascii="Arial" w:hAnsi="Arial" w:cs="Arial"/>
        </w:rPr>
        <w:t xml:space="preserve">ng of these facilities was </w:t>
      </w:r>
      <w:r w:rsidRPr="00B848CD">
        <w:rPr>
          <w:rFonts w:ascii="Arial" w:hAnsi="Arial" w:cs="Arial"/>
        </w:rPr>
        <w:t xml:space="preserve">managed </w:t>
      </w:r>
      <w:r w:rsidR="00D632AD" w:rsidRPr="00B848CD">
        <w:rPr>
          <w:rFonts w:ascii="Arial" w:hAnsi="Arial" w:cs="Arial"/>
        </w:rPr>
        <w:t xml:space="preserve">to ensure </w:t>
      </w:r>
      <w:r w:rsidRPr="00B848CD">
        <w:rPr>
          <w:rFonts w:ascii="Arial" w:hAnsi="Arial" w:cs="Arial"/>
        </w:rPr>
        <w:t>a</w:t>
      </w:r>
      <w:r w:rsidR="002F3175" w:rsidRPr="00B848CD">
        <w:rPr>
          <w:rFonts w:ascii="Arial" w:hAnsi="Arial" w:cs="Arial"/>
        </w:rPr>
        <w:t xml:space="preserve"> safe </w:t>
      </w:r>
      <w:r w:rsidRPr="00B848CD">
        <w:rPr>
          <w:rFonts w:ascii="Arial" w:hAnsi="Arial" w:cs="Arial"/>
        </w:rPr>
        <w:t xml:space="preserve">level of care was maintained. </w:t>
      </w:r>
      <w:r w:rsidR="004F6710" w:rsidRPr="00B848CD">
        <w:rPr>
          <w:rFonts w:ascii="Arial" w:hAnsi="Arial" w:cs="Arial"/>
        </w:rPr>
        <w:t>Extra c</w:t>
      </w:r>
      <w:r w:rsidRPr="00B848CD">
        <w:rPr>
          <w:rFonts w:ascii="Arial" w:hAnsi="Arial" w:cs="Arial"/>
        </w:rPr>
        <w:t xml:space="preserve">apacity has been </w:t>
      </w:r>
      <w:r w:rsidR="00731C78" w:rsidRPr="00B848CD">
        <w:rPr>
          <w:rFonts w:ascii="Arial" w:hAnsi="Arial" w:cs="Arial"/>
        </w:rPr>
        <w:t>provided</w:t>
      </w:r>
      <w:r w:rsidRPr="00B848CD">
        <w:rPr>
          <w:rFonts w:ascii="Arial" w:hAnsi="Arial" w:cs="Arial"/>
        </w:rPr>
        <w:t xml:space="preserve"> by community teams </w:t>
      </w:r>
      <w:r w:rsidR="00731C78" w:rsidRPr="00B848CD">
        <w:rPr>
          <w:rFonts w:ascii="Arial" w:hAnsi="Arial" w:cs="Arial"/>
        </w:rPr>
        <w:t>and services. There is a large amount of evidence which shows that people have better mental health outcomes when they are supported outside of a hospital and should only be admitted when it is appropriate and necessary for their needs.</w:t>
      </w:r>
    </w:p>
    <w:p w:rsidR="000A658F" w:rsidRPr="00B848CD" w:rsidRDefault="00731C78" w:rsidP="007469EF">
      <w:pPr>
        <w:rPr>
          <w:rFonts w:ascii="Arial" w:hAnsi="Arial" w:cs="Arial"/>
        </w:rPr>
      </w:pPr>
      <w:r w:rsidRPr="00B848CD">
        <w:rPr>
          <w:rFonts w:ascii="Arial" w:hAnsi="Arial" w:cs="Arial"/>
        </w:rPr>
        <w:t>P</w:t>
      </w:r>
      <w:r w:rsidR="007469EF" w:rsidRPr="00B848CD">
        <w:rPr>
          <w:rFonts w:ascii="Arial" w:hAnsi="Arial" w:cs="Arial"/>
        </w:rPr>
        <w:t xml:space="preserve">eople </w:t>
      </w:r>
      <w:r w:rsidRPr="00B848CD">
        <w:rPr>
          <w:rFonts w:ascii="Arial" w:hAnsi="Arial" w:cs="Arial"/>
        </w:rPr>
        <w:t>who</w:t>
      </w:r>
      <w:r w:rsidR="007469EF" w:rsidRPr="00B848CD">
        <w:rPr>
          <w:rFonts w:ascii="Arial" w:hAnsi="Arial" w:cs="Arial"/>
        </w:rPr>
        <w:t xml:space="preserve"> still required inpatient services were placed appropriately </w:t>
      </w:r>
      <w:r w:rsidR="007B7831" w:rsidRPr="00B848CD">
        <w:rPr>
          <w:rFonts w:ascii="Arial" w:hAnsi="Arial" w:cs="Arial"/>
        </w:rPr>
        <w:t>with the full involvement of their relatives/carers.</w:t>
      </w:r>
      <w:r w:rsidR="007469EF" w:rsidRPr="00B848CD">
        <w:rPr>
          <w:rFonts w:ascii="Arial" w:hAnsi="Arial" w:cs="Arial"/>
        </w:rPr>
        <w:t xml:space="preserve"> </w:t>
      </w:r>
    </w:p>
    <w:p w:rsidR="00731C78" w:rsidRPr="00B848CD" w:rsidRDefault="00731C78" w:rsidP="007469EF">
      <w:pPr>
        <w:rPr>
          <w:rFonts w:ascii="Arial" w:hAnsi="Arial" w:cs="Arial"/>
          <w:b/>
        </w:rPr>
      </w:pPr>
    </w:p>
    <w:p w:rsidR="007469EF" w:rsidRPr="00B848CD" w:rsidRDefault="00740535" w:rsidP="007469EF">
      <w:pPr>
        <w:rPr>
          <w:rFonts w:ascii="Arial" w:hAnsi="Arial" w:cs="Arial"/>
          <w:b/>
        </w:rPr>
      </w:pPr>
      <w:r w:rsidRPr="00B848CD">
        <w:rPr>
          <w:rFonts w:ascii="Arial" w:hAnsi="Arial" w:cs="Arial"/>
          <w:b/>
        </w:rPr>
        <w:t xml:space="preserve">Phase Two </w:t>
      </w:r>
      <w:r w:rsidR="003F4DE9" w:rsidRPr="00B848CD">
        <w:rPr>
          <w:rFonts w:ascii="Arial" w:hAnsi="Arial" w:cs="Arial"/>
        </w:rPr>
        <w:t>of the transition plan</w:t>
      </w:r>
      <w:r w:rsidR="00D478CA" w:rsidRPr="00B848CD">
        <w:rPr>
          <w:rFonts w:ascii="Arial" w:hAnsi="Arial" w:cs="Arial"/>
          <w:b/>
        </w:rPr>
        <w:t xml:space="preserve"> </w:t>
      </w:r>
      <w:r w:rsidR="00D478CA" w:rsidRPr="00B848CD">
        <w:rPr>
          <w:rFonts w:ascii="Arial" w:hAnsi="Arial" w:cs="Arial"/>
        </w:rPr>
        <w:t>(January 2012 – March 2013)</w:t>
      </w:r>
      <w:r w:rsidR="00D478CA" w:rsidRPr="00B848CD">
        <w:rPr>
          <w:rFonts w:ascii="Arial" w:hAnsi="Arial" w:cs="Arial"/>
          <w:b/>
        </w:rPr>
        <w:t xml:space="preserve"> </w:t>
      </w:r>
    </w:p>
    <w:p w:rsidR="00740535" w:rsidRPr="00B848CD" w:rsidRDefault="00740535" w:rsidP="007469EF">
      <w:pPr>
        <w:rPr>
          <w:rFonts w:ascii="Arial" w:hAnsi="Arial" w:cs="Arial"/>
          <w:b/>
        </w:rPr>
      </w:pPr>
    </w:p>
    <w:p w:rsidR="00252520" w:rsidRPr="00B848CD" w:rsidRDefault="007469EF" w:rsidP="007469EF">
      <w:pPr>
        <w:rPr>
          <w:rFonts w:ascii="Arial" w:hAnsi="Arial" w:cs="Arial"/>
        </w:rPr>
      </w:pPr>
      <w:r w:rsidRPr="00B848CD">
        <w:rPr>
          <w:rFonts w:ascii="Arial" w:hAnsi="Arial" w:cs="Arial"/>
        </w:rPr>
        <w:t xml:space="preserve">The Trust has developed a high level plan to describe how </w:t>
      </w:r>
      <w:r w:rsidR="00D478CA" w:rsidRPr="00B848CD">
        <w:rPr>
          <w:rFonts w:ascii="Arial" w:hAnsi="Arial" w:cs="Arial"/>
        </w:rPr>
        <w:t>its t</w:t>
      </w:r>
      <w:r w:rsidR="00A725FA" w:rsidRPr="00B848CD">
        <w:rPr>
          <w:rFonts w:ascii="Arial" w:hAnsi="Arial" w:cs="Arial"/>
        </w:rPr>
        <w:t>ransition</w:t>
      </w:r>
      <w:r w:rsidR="00D478CA" w:rsidRPr="00B848CD">
        <w:rPr>
          <w:rFonts w:ascii="Arial" w:hAnsi="Arial" w:cs="Arial"/>
        </w:rPr>
        <w:t xml:space="preserve">al plans </w:t>
      </w:r>
      <w:r w:rsidR="00A725FA" w:rsidRPr="00B848CD">
        <w:rPr>
          <w:rFonts w:ascii="Arial" w:hAnsi="Arial" w:cs="Arial"/>
        </w:rPr>
        <w:t>will be managed</w:t>
      </w:r>
      <w:r w:rsidR="00252520" w:rsidRPr="00B848CD">
        <w:rPr>
          <w:rFonts w:ascii="Arial" w:hAnsi="Arial" w:cs="Arial"/>
        </w:rPr>
        <w:t>. This plan details the sequencing of when exist</w:t>
      </w:r>
      <w:r w:rsidR="00731C78" w:rsidRPr="00B848CD">
        <w:rPr>
          <w:rFonts w:ascii="Arial" w:hAnsi="Arial" w:cs="Arial"/>
        </w:rPr>
        <w:t>ing facilities will close as</w:t>
      </w:r>
      <w:r w:rsidR="00252520" w:rsidRPr="00B848CD">
        <w:rPr>
          <w:rFonts w:ascii="Arial" w:hAnsi="Arial" w:cs="Arial"/>
        </w:rPr>
        <w:t xml:space="preserve"> new accommod</w:t>
      </w:r>
      <w:r w:rsidR="00A725FA" w:rsidRPr="00B848CD">
        <w:rPr>
          <w:rFonts w:ascii="Arial" w:hAnsi="Arial" w:cs="Arial"/>
        </w:rPr>
        <w:t xml:space="preserve">ation becomes operational. It describes the process that the Trust will follow to achieve the new </w:t>
      </w:r>
      <w:r w:rsidR="00731C78" w:rsidRPr="00B848CD">
        <w:rPr>
          <w:rFonts w:ascii="Arial" w:hAnsi="Arial" w:cs="Arial"/>
        </w:rPr>
        <w:t xml:space="preserve">needs led </w:t>
      </w:r>
      <w:r w:rsidR="00A725FA" w:rsidRPr="00B848CD">
        <w:rPr>
          <w:rFonts w:ascii="Arial" w:hAnsi="Arial" w:cs="Arial"/>
        </w:rPr>
        <w:t>model of care</w:t>
      </w:r>
      <w:r w:rsidR="00731C78" w:rsidRPr="00B848CD">
        <w:rPr>
          <w:rFonts w:ascii="Arial" w:hAnsi="Arial" w:cs="Arial"/>
        </w:rPr>
        <w:t xml:space="preserve"> for adults of all ages</w:t>
      </w:r>
      <w:r w:rsidR="00A725FA" w:rsidRPr="00B848CD">
        <w:rPr>
          <w:rFonts w:ascii="Arial" w:hAnsi="Arial" w:cs="Arial"/>
        </w:rPr>
        <w:t xml:space="preserve">. </w:t>
      </w:r>
    </w:p>
    <w:p w:rsidR="00D478CA" w:rsidRPr="00B848CD" w:rsidRDefault="00D478CA" w:rsidP="007469EF">
      <w:pPr>
        <w:rPr>
          <w:rFonts w:ascii="Arial" w:hAnsi="Arial" w:cs="Arial"/>
        </w:rPr>
      </w:pPr>
    </w:p>
    <w:p w:rsidR="00D478CA" w:rsidRPr="00B848CD" w:rsidRDefault="00D478CA" w:rsidP="007469EF">
      <w:pPr>
        <w:rPr>
          <w:rFonts w:ascii="Arial" w:hAnsi="Arial" w:cs="Arial"/>
        </w:rPr>
      </w:pPr>
      <w:r w:rsidRPr="00B848CD">
        <w:rPr>
          <w:rFonts w:ascii="Arial" w:hAnsi="Arial" w:cs="Arial"/>
        </w:rPr>
        <w:t xml:space="preserve">Key milestones: </w:t>
      </w:r>
    </w:p>
    <w:p w:rsidR="00D478CA" w:rsidRPr="00B848CD" w:rsidRDefault="00D478CA" w:rsidP="007469EF">
      <w:pPr>
        <w:rPr>
          <w:rFonts w:ascii="Arial" w:hAnsi="Arial" w:cs="Arial"/>
        </w:rPr>
      </w:pPr>
    </w:p>
    <w:p w:rsidR="00D478CA" w:rsidRPr="00B848CD" w:rsidRDefault="00D478CA" w:rsidP="00D478CA">
      <w:pPr>
        <w:pStyle w:val="ListParagraph"/>
        <w:numPr>
          <w:ilvl w:val="0"/>
          <w:numId w:val="16"/>
        </w:numPr>
        <w:rPr>
          <w:rFonts w:ascii="Arial" w:hAnsi="Arial" w:cs="Arial"/>
        </w:rPr>
      </w:pPr>
      <w:r w:rsidRPr="00B848CD">
        <w:rPr>
          <w:rFonts w:ascii="Arial" w:hAnsi="Arial" w:cs="Arial"/>
        </w:rPr>
        <w:t>Autumn 201</w:t>
      </w:r>
      <w:r w:rsidR="003F4DE9" w:rsidRPr="00B848CD">
        <w:rPr>
          <w:rFonts w:ascii="Arial" w:hAnsi="Arial" w:cs="Arial"/>
        </w:rPr>
        <w:t>2</w:t>
      </w:r>
      <w:r w:rsidRPr="00B848CD">
        <w:rPr>
          <w:rFonts w:ascii="Arial" w:hAnsi="Arial" w:cs="Arial"/>
        </w:rPr>
        <w:t>. Beds from the Oaklands Unit in Lancaster merge with the Lancaster Unit at Ridge Lea Hospital. This is to enable the Oaklands Unit to close for re-development into the inpatient service for North Lancashire</w:t>
      </w:r>
      <w:r w:rsidR="003F4DE9" w:rsidRPr="00B848CD">
        <w:rPr>
          <w:rFonts w:ascii="Arial" w:hAnsi="Arial" w:cs="Arial"/>
        </w:rPr>
        <w:t>. The new service at Oaklands will be operational</w:t>
      </w:r>
      <w:r w:rsidRPr="00B848CD">
        <w:rPr>
          <w:rFonts w:ascii="Arial" w:hAnsi="Arial" w:cs="Arial"/>
        </w:rPr>
        <w:t xml:space="preserve"> by </w:t>
      </w:r>
      <w:proofErr w:type="gramStart"/>
      <w:r w:rsidRPr="00B848CD">
        <w:rPr>
          <w:rFonts w:ascii="Arial" w:hAnsi="Arial" w:cs="Arial"/>
        </w:rPr>
        <w:t>Autumn</w:t>
      </w:r>
      <w:proofErr w:type="gramEnd"/>
      <w:r w:rsidRPr="00B848CD">
        <w:rPr>
          <w:rFonts w:ascii="Arial" w:hAnsi="Arial" w:cs="Arial"/>
        </w:rPr>
        <w:t xml:space="preserve"> 2013. </w:t>
      </w:r>
    </w:p>
    <w:p w:rsidR="00D478CA" w:rsidRPr="00B848CD" w:rsidRDefault="00D478CA" w:rsidP="00D478CA">
      <w:pPr>
        <w:pStyle w:val="ListParagraph"/>
        <w:numPr>
          <w:ilvl w:val="0"/>
          <w:numId w:val="16"/>
        </w:numPr>
        <w:rPr>
          <w:rFonts w:ascii="Arial" w:hAnsi="Arial" w:cs="Arial"/>
        </w:rPr>
      </w:pPr>
      <w:r w:rsidRPr="00B848CD">
        <w:rPr>
          <w:rFonts w:ascii="Arial" w:hAnsi="Arial" w:cs="Arial"/>
        </w:rPr>
        <w:t xml:space="preserve">March 2013: Wards 18 and 19 at Burnley General Hospital close. </w:t>
      </w:r>
    </w:p>
    <w:p w:rsidR="00D478CA" w:rsidRPr="00B848CD" w:rsidRDefault="00D478CA" w:rsidP="00D478CA">
      <w:pPr>
        <w:pStyle w:val="ListParagraph"/>
        <w:numPr>
          <w:ilvl w:val="0"/>
          <w:numId w:val="16"/>
        </w:numPr>
        <w:rPr>
          <w:rFonts w:ascii="Arial" w:hAnsi="Arial" w:cs="Arial"/>
        </w:rPr>
      </w:pPr>
      <w:r w:rsidRPr="00B848CD">
        <w:rPr>
          <w:rFonts w:ascii="Arial" w:hAnsi="Arial" w:cs="Arial"/>
        </w:rPr>
        <w:t xml:space="preserve">Spring 2013: Development of The Harbour as the inpatient service for the Fylde Coast commences.  </w:t>
      </w:r>
    </w:p>
    <w:p w:rsidR="00A725FA" w:rsidRPr="00B848CD" w:rsidRDefault="00A725FA" w:rsidP="007469EF">
      <w:pPr>
        <w:rPr>
          <w:rFonts w:ascii="Arial" w:hAnsi="Arial" w:cs="Arial"/>
        </w:rPr>
      </w:pPr>
    </w:p>
    <w:p w:rsidR="00252520" w:rsidRPr="00B848CD" w:rsidRDefault="00D478CA" w:rsidP="007469EF">
      <w:pPr>
        <w:rPr>
          <w:rFonts w:ascii="Arial" w:hAnsi="Arial" w:cs="Arial"/>
        </w:rPr>
      </w:pPr>
      <w:r w:rsidRPr="00B848CD">
        <w:rPr>
          <w:rFonts w:ascii="Arial" w:hAnsi="Arial" w:cs="Arial"/>
        </w:rPr>
        <w:t xml:space="preserve">These are </w:t>
      </w:r>
      <w:r w:rsidR="00252520" w:rsidRPr="00B848CD">
        <w:rPr>
          <w:rFonts w:ascii="Arial" w:hAnsi="Arial" w:cs="Arial"/>
        </w:rPr>
        <w:t>indicative timescales</w:t>
      </w:r>
      <w:r w:rsidRPr="00B848CD">
        <w:rPr>
          <w:rFonts w:ascii="Arial" w:hAnsi="Arial" w:cs="Arial"/>
        </w:rPr>
        <w:t xml:space="preserve"> and</w:t>
      </w:r>
      <w:r w:rsidR="00252520" w:rsidRPr="00B848CD">
        <w:rPr>
          <w:rFonts w:ascii="Arial" w:hAnsi="Arial" w:cs="Arial"/>
        </w:rPr>
        <w:t xml:space="preserve"> could change </w:t>
      </w:r>
      <w:r w:rsidR="00F7250E" w:rsidRPr="00B848CD">
        <w:rPr>
          <w:rFonts w:ascii="Arial" w:hAnsi="Arial" w:cs="Arial"/>
        </w:rPr>
        <w:t>in response to</w:t>
      </w:r>
      <w:r w:rsidR="00252520" w:rsidRPr="00B848CD">
        <w:rPr>
          <w:rFonts w:ascii="Arial" w:hAnsi="Arial" w:cs="Arial"/>
        </w:rPr>
        <w:t xml:space="preserve"> the needs of the service. The Trust will report any significant changes to its plan to Overview and Scrutiny Committees and will provide detailed information </w:t>
      </w:r>
      <w:r w:rsidR="00804E6C" w:rsidRPr="00B848CD">
        <w:rPr>
          <w:rFonts w:ascii="Arial" w:hAnsi="Arial" w:cs="Arial"/>
        </w:rPr>
        <w:t>at key milestones.</w:t>
      </w:r>
    </w:p>
    <w:p w:rsidR="00D478CA" w:rsidRPr="00B848CD" w:rsidRDefault="00D478CA" w:rsidP="007469EF">
      <w:pPr>
        <w:rPr>
          <w:rFonts w:ascii="Arial" w:hAnsi="Arial" w:cs="Arial"/>
        </w:rPr>
      </w:pPr>
    </w:p>
    <w:p w:rsidR="00252520" w:rsidRPr="00B848CD" w:rsidRDefault="00252520" w:rsidP="007469EF">
      <w:pPr>
        <w:rPr>
          <w:rFonts w:ascii="Arial" w:hAnsi="Arial" w:cs="Arial"/>
          <w:b/>
        </w:rPr>
      </w:pPr>
      <w:r w:rsidRPr="00B848CD">
        <w:rPr>
          <w:rFonts w:ascii="Arial" w:hAnsi="Arial" w:cs="Arial"/>
          <w:b/>
        </w:rPr>
        <w:t>Transitional arrangements for 2012-</w:t>
      </w:r>
      <w:r w:rsidR="00D478CA" w:rsidRPr="00B848CD">
        <w:rPr>
          <w:rFonts w:ascii="Arial" w:hAnsi="Arial" w:cs="Arial"/>
          <w:b/>
        </w:rPr>
        <w:t xml:space="preserve"> March 20</w:t>
      </w:r>
      <w:r w:rsidRPr="00B848CD">
        <w:rPr>
          <w:rFonts w:ascii="Arial" w:hAnsi="Arial" w:cs="Arial"/>
          <w:b/>
        </w:rPr>
        <w:t>13</w:t>
      </w:r>
    </w:p>
    <w:p w:rsidR="00252520" w:rsidRPr="00B848CD" w:rsidRDefault="00252520" w:rsidP="007469EF">
      <w:pPr>
        <w:rPr>
          <w:rFonts w:ascii="Arial" w:hAnsi="Arial" w:cs="Arial"/>
        </w:rPr>
      </w:pPr>
    </w:p>
    <w:p w:rsidR="000A658F" w:rsidRPr="00B848CD" w:rsidRDefault="000A658F" w:rsidP="000A658F">
      <w:pPr>
        <w:rPr>
          <w:rFonts w:ascii="Arial" w:hAnsi="Arial" w:cs="Arial"/>
        </w:rPr>
      </w:pPr>
      <w:r w:rsidRPr="00B848CD">
        <w:rPr>
          <w:rFonts w:ascii="Arial" w:hAnsi="Arial" w:cs="Arial"/>
        </w:rPr>
        <w:t xml:space="preserve">This section sets out the </w:t>
      </w:r>
      <w:r w:rsidR="00047151" w:rsidRPr="00B848CD">
        <w:rPr>
          <w:rFonts w:ascii="Arial" w:hAnsi="Arial" w:cs="Arial"/>
        </w:rPr>
        <w:t xml:space="preserve">detailed arrangements for the </w:t>
      </w:r>
      <w:r w:rsidRPr="00B848CD">
        <w:rPr>
          <w:rFonts w:ascii="Arial" w:hAnsi="Arial" w:cs="Arial"/>
        </w:rPr>
        <w:t>units that will be</w:t>
      </w:r>
      <w:r w:rsidR="00F7250E" w:rsidRPr="00B848CD">
        <w:rPr>
          <w:rFonts w:ascii="Arial" w:hAnsi="Arial" w:cs="Arial"/>
        </w:rPr>
        <w:t xml:space="preserve"> de-commissioned or re-provided </w:t>
      </w:r>
      <w:r w:rsidR="00047151" w:rsidRPr="00B848CD">
        <w:rPr>
          <w:rFonts w:ascii="Arial" w:hAnsi="Arial" w:cs="Arial"/>
        </w:rPr>
        <w:t>between</w:t>
      </w:r>
      <w:r w:rsidR="0001359D" w:rsidRPr="00B848CD">
        <w:rPr>
          <w:rFonts w:ascii="Arial" w:hAnsi="Arial" w:cs="Arial"/>
        </w:rPr>
        <w:t xml:space="preserve"> 2012 </w:t>
      </w:r>
      <w:r w:rsidR="00047151" w:rsidRPr="00B848CD">
        <w:rPr>
          <w:rFonts w:ascii="Arial" w:hAnsi="Arial" w:cs="Arial"/>
        </w:rPr>
        <w:t>and March</w:t>
      </w:r>
      <w:r w:rsidR="0001359D" w:rsidRPr="00B848CD">
        <w:rPr>
          <w:rFonts w:ascii="Arial" w:hAnsi="Arial" w:cs="Arial"/>
        </w:rPr>
        <w:t xml:space="preserve"> 2013. </w:t>
      </w:r>
      <w:r w:rsidRPr="00B848CD">
        <w:rPr>
          <w:rFonts w:ascii="Arial" w:hAnsi="Arial" w:cs="Arial"/>
        </w:rPr>
        <w:t>It is important to note that the following principle</w:t>
      </w:r>
      <w:r w:rsidR="006100C8" w:rsidRPr="00B848CD">
        <w:rPr>
          <w:rFonts w:ascii="Arial" w:hAnsi="Arial" w:cs="Arial"/>
        </w:rPr>
        <w:t xml:space="preserve">s underpin all of the proposals: </w:t>
      </w:r>
    </w:p>
    <w:p w:rsidR="006100C8" w:rsidRPr="00B848CD" w:rsidRDefault="006100C8" w:rsidP="000A658F">
      <w:pPr>
        <w:rPr>
          <w:rFonts w:ascii="Arial" w:hAnsi="Arial" w:cs="Arial"/>
        </w:rPr>
      </w:pPr>
    </w:p>
    <w:p w:rsidR="00D478CA" w:rsidRPr="00B848CD" w:rsidRDefault="00D478CA" w:rsidP="00D478CA">
      <w:pPr>
        <w:pStyle w:val="ListParagraph"/>
        <w:numPr>
          <w:ilvl w:val="0"/>
          <w:numId w:val="18"/>
        </w:numPr>
        <w:rPr>
          <w:rFonts w:ascii="Arial" w:hAnsi="Arial" w:cs="Arial"/>
        </w:rPr>
      </w:pPr>
      <w:r w:rsidRPr="00B848CD">
        <w:rPr>
          <w:rFonts w:ascii="Arial" w:hAnsi="Arial" w:cs="Arial"/>
        </w:rPr>
        <w:lastRenderedPageBreak/>
        <w:t>Delivering safe, effective and high quality healthcare</w:t>
      </w:r>
    </w:p>
    <w:p w:rsidR="000A658F" w:rsidRPr="00B848CD" w:rsidRDefault="00D478CA" w:rsidP="00D478CA">
      <w:pPr>
        <w:pStyle w:val="ListParagraph"/>
        <w:numPr>
          <w:ilvl w:val="0"/>
          <w:numId w:val="18"/>
        </w:numPr>
        <w:rPr>
          <w:rFonts w:ascii="Arial" w:hAnsi="Arial" w:cs="Arial"/>
        </w:rPr>
      </w:pPr>
      <w:r w:rsidRPr="00B848CD">
        <w:rPr>
          <w:rFonts w:ascii="Arial" w:hAnsi="Arial" w:cs="Arial"/>
        </w:rPr>
        <w:t>S</w:t>
      </w:r>
      <w:r w:rsidR="000A658F" w:rsidRPr="00B848CD">
        <w:rPr>
          <w:rFonts w:ascii="Arial" w:hAnsi="Arial" w:cs="Arial"/>
        </w:rPr>
        <w:t xml:space="preserve">upporting the movement to the new </w:t>
      </w:r>
      <w:r w:rsidR="006100C8" w:rsidRPr="00B848CD">
        <w:rPr>
          <w:rFonts w:ascii="Arial" w:hAnsi="Arial" w:cs="Arial"/>
        </w:rPr>
        <w:t xml:space="preserve">needs led </w:t>
      </w:r>
      <w:r w:rsidR="000A658F" w:rsidRPr="00B848CD">
        <w:rPr>
          <w:rFonts w:ascii="Arial" w:hAnsi="Arial" w:cs="Arial"/>
        </w:rPr>
        <w:t>model of care</w:t>
      </w:r>
      <w:r w:rsidR="006100C8" w:rsidRPr="00B848CD">
        <w:rPr>
          <w:rFonts w:ascii="Arial" w:hAnsi="Arial" w:cs="Arial"/>
        </w:rPr>
        <w:t xml:space="preserve"> for adults of all ages</w:t>
      </w:r>
      <w:r w:rsidR="00740535" w:rsidRPr="00B848CD">
        <w:rPr>
          <w:rFonts w:ascii="Arial" w:hAnsi="Arial" w:cs="Arial"/>
        </w:rPr>
        <w:t>,</w:t>
      </w:r>
      <w:r w:rsidR="000A658F" w:rsidRPr="00B848CD">
        <w:rPr>
          <w:rFonts w:ascii="Arial" w:hAnsi="Arial" w:cs="Arial"/>
        </w:rPr>
        <w:t xml:space="preserve"> </w:t>
      </w:r>
      <w:r w:rsidR="00BA4E3B" w:rsidRPr="00B848CD">
        <w:rPr>
          <w:rFonts w:ascii="Arial" w:hAnsi="Arial" w:cs="Arial"/>
        </w:rPr>
        <w:t xml:space="preserve">comprising </w:t>
      </w:r>
      <w:r w:rsidR="006100C8" w:rsidRPr="00B848CD">
        <w:rPr>
          <w:rFonts w:ascii="Arial" w:hAnsi="Arial" w:cs="Arial"/>
        </w:rPr>
        <w:t>both</w:t>
      </w:r>
      <w:r w:rsidR="00BA4E3B" w:rsidRPr="00B848CD">
        <w:rPr>
          <w:rFonts w:ascii="Arial" w:hAnsi="Arial" w:cs="Arial"/>
        </w:rPr>
        <w:t xml:space="preserve"> community and inpatient services</w:t>
      </w:r>
    </w:p>
    <w:p w:rsidR="000A658F" w:rsidRPr="00B848CD" w:rsidRDefault="000A658F" w:rsidP="00D478CA">
      <w:pPr>
        <w:pStyle w:val="ListParagraph"/>
        <w:numPr>
          <w:ilvl w:val="0"/>
          <w:numId w:val="18"/>
        </w:numPr>
        <w:rPr>
          <w:rFonts w:ascii="Arial" w:hAnsi="Arial" w:cs="Arial"/>
        </w:rPr>
      </w:pPr>
      <w:r w:rsidRPr="00B848CD">
        <w:rPr>
          <w:rFonts w:ascii="Arial" w:hAnsi="Arial" w:cs="Arial"/>
        </w:rPr>
        <w:t>Ensuring quality and consistency across the Lancashire footprint</w:t>
      </w:r>
    </w:p>
    <w:p w:rsidR="000A658F" w:rsidRPr="00B848CD" w:rsidRDefault="000A658F" w:rsidP="00D478CA">
      <w:pPr>
        <w:pStyle w:val="ListParagraph"/>
        <w:numPr>
          <w:ilvl w:val="0"/>
          <w:numId w:val="18"/>
        </w:numPr>
        <w:rPr>
          <w:rFonts w:ascii="Arial" w:hAnsi="Arial" w:cs="Arial"/>
        </w:rPr>
      </w:pPr>
      <w:r w:rsidRPr="00B848CD">
        <w:rPr>
          <w:rFonts w:ascii="Arial" w:hAnsi="Arial" w:cs="Arial"/>
        </w:rPr>
        <w:t xml:space="preserve">Ensuring best value in the use of public sector resources </w:t>
      </w:r>
    </w:p>
    <w:p w:rsidR="000A658F" w:rsidRPr="00B848CD" w:rsidRDefault="000A658F" w:rsidP="007469EF">
      <w:pPr>
        <w:rPr>
          <w:rFonts w:ascii="Arial" w:hAnsi="Arial" w:cs="Arial"/>
        </w:rPr>
      </w:pPr>
    </w:p>
    <w:p w:rsidR="002E57F6" w:rsidRPr="00B848CD" w:rsidRDefault="00016A96" w:rsidP="002E57F6">
      <w:pPr>
        <w:rPr>
          <w:rFonts w:ascii="Arial" w:hAnsi="Arial" w:cs="Arial"/>
        </w:rPr>
      </w:pPr>
      <w:proofErr w:type="gramStart"/>
      <w:r w:rsidRPr="00B848CD">
        <w:rPr>
          <w:rFonts w:ascii="Arial" w:hAnsi="Arial" w:cs="Arial"/>
        </w:rPr>
        <w:t>Between</w:t>
      </w:r>
      <w:r w:rsidR="002E57F6" w:rsidRPr="00B848CD">
        <w:rPr>
          <w:rFonts w:ascii="Arial" w:hAnsi="Arial" w:cs="Arial"/>
        </w:rPr>
        <w:t xml:space="preserve"> </w:t>
      </w:r>
      <w:r w:rsidR="00D478CA" w:rsidRPr="00B848CD">
        <w:rPr>
          <w:rFonts w:ascii="Arial" w:hAnsi="Arial" w:cs="Arial"/>
        </w:rPr>
        <w:t xml:space="preserve">January </w:t>
      </w:r>
      <w:r w:rsidR="002E57F6" w:rsidRPr="00B848CD">
        <w:rPr>
          <w:rFonts w:ascii="Arial" w:hAnsi="Arial" w:cs="Arial"/>
        </w:rPr>
        <w:t>2012 –</w:t>
      </w:r>
      <w:proofErr w:type="gramEnd"/>
      <w:r w:rsidR="002E57F6" w:rsidRPr="00B848CD">
        <w:rPr>
          <w:rFonts w:ascii="Arial" w:hAnsi="Arial" w:cs="Arial"/>
        </w:rPr>
        <w:t xml:space="preserve"> </w:t>
      </w:r>
      <w:r w:rsidR="00D478CA" w:rsidRPr="00B848CD">
        <w:rPr>
          <w:rFonts w:ascii="Arial" w:hAnsi="Arial" w:cs="Arial"/>
        </w:rPr>
        <w:t xml:space="preserve">March </w:t>
      </w:r>
      <w:r w:rsidR="002E57F6" w:rsidRPr="00B848CD">
        <w:rPr>
          <w:rFonts w:ascii="Arial" w:hAnsi="Arial" w:cs="Arial"/>
        </w:rPr>
        <w:t xml:space="preserve">2013 the </w:t>
      </w:r>
      <w:r w:rsidR="002730AA" w:rsidRPr="00B848CD">
        <w:rPr>
          <w:rFonts w:ascii="Arial" w:hAnsi="Arial" w:cs="Arial"/>
        </w:rPr>
        <w:t xml:space="preserve">inpatient facilities </w:t>
      </w:r>
      <w:r w:rsidRPr="00B848CD">
        <w:rPr>
          <w:rFonts w:ascii="Arial" w:hAnsi="Arial" w:cs="Arial"/>
        </w:rPr>
        <w:t>listed</w:t>
      </w:r>
      <w:r w:rsidR="002E57F6" w:rsidRPr="00B848CD">
        <w:rPr>
          <w:rFonts w:ascii="Arial" w:hAnsi="Arial" w:cs="Arial"/>
        </w:rPr>
        <w:t xml:space="preserve"> below </w:t>
      </w:r>
      <w:r w:rsidR="002730AA" w:rsidRPr="00B848CD">
        <w:rPr>
          <w:rFonts w:ascii="Arial" w:hAnsi="Arial" w:cs="Arial"/>
        </w:rPr>
        <w:t>will be de-commissioned</w:t>
      </w:r>
      <w:r w:rsidR="007B7831" w:rsidRPr="00B848CD">
        <w:rPr>
          <w:rFonts w:ascii="Arial" w:hAnsi="Arial" w:cs="Arial"/>
        </w:rPr>
        <w:t xml:space="preserve"> or re-provided from another location</w:t>
      </w:r>
      <w:r w:rsidR="007A6FD0" w:rsidRPr="00B848CD">
        <w:rPr>
          <w:rFonts w:ascii="Arial" w:hAnsi="Arial" w:cs="Arial"/>
        </w:rPr>
        <w:t xml:space="preserve"> or </w:t>
      </w:r>
      <w:r w:rsidR="006100C8" w:rsidRPr="00B848CD">
        <w:rPr>
          <w:rFonts w:ascii="Arial" w:hAnsi="Arial" w:cs="Arial"/>
        </w:rPr>
        <w:t xml:space="preserve">by </w:t>
      </w:r>
      <w:r w:rsidR="007A6FD0" w:rsidRPr="00B848CD">
        <w:rPr>
          <w:rFonts w:ascii="Arial" w:hAnsi="Arial" w:cs="Arial"/>
        </w:rPr>
        <w:t>community service</w:t>
      </w:r>
      <w:r w:rsidR="006100C8" w:rsidRPr="00B848CD">
        <w:rPr>
          <w:rFonts w:ascii="Arial" w:hAnsi="Arial" w:cs="Arial"/>
        </w:rPr>
        <w:t>s</w:t>
      </w:r>
      <w:r w:rsidR="007B7831" w:rsidRPr="00B848CD">
        <w:rPr>
          <w:rFonts w:ascii="Arial" w:hAnsi="Arial" w:cs="Arial"/>
        </w:rPr>
        <w:t xml:space="preserve">. </w:t>
      </w:r>
      <w:r w:rsidR="002E57F6" w:rsidRPr="00B848CD">
        <w:rPr>
          <w:rFonts w:ascii="Arial" w:hAnsi="Arial" w:cs="Arial"/>
        </w:rPr>
        <w:t xml:space="preserve">This information was presented to </w:t>
      </w:r>
      <w:r w:rsidRPr="00B848CD">
        <w:rPr>
          <w:rFonts w:ascii="Arial" w:hAnsi="Arial" w:cs="Arial"/>
        </w:rPr>
        <w:t>OSCs</w:t>
      </w:r>
      <w:r w:rsidR="002E57F6" w:rsidRPr="00B848CD">
        <w:rPr>
          <w:rFonts w:ascii="Arial" w:hAnsi="Arial" w:cs="Arial"/>
        </w:rPr>
        <w:t xml:space="preserve"> in January 2012. The reason for this update is due to a revision to the transition timeline that will slow the pace of bed reductions in East Lancashire to assure sufficient capacity, safety and quality. Specifically this means that Ward 19 and Ward 18 remain planned </w:t>
      </w:r>
      <w:r w:rsidRPr="00B848CD">
        <w:rPr>
          <w:rFonts w:ascii="Arial" w:hAnsi="Arial" w:cs="Arial"/>
        </w:rPr>
        <w:t>to close in March 13 but t</w:t>
      </w:r>
      <w:r w:rsidR="002E57F6" w:rsidRPr="00B848CD">
        <w:rPr>
          <w:rFonts w:ascii="Arial" w:hAnsi="Arial" w:cs="Arial"/>
        </w:rPr>
        <w:t xml:space="preserve">he female functional ward (ward 20) and PICU will remain open. Ward 22 was always planned to remain open on the Burnley site and that is unchanged. </w:t>
      </w:r>
      <w:r w:rsidRPr="00B848CD">
        <w:rPr>
          <w:rFonts w:ascii="Arial" w:hAnsi="Arial" w:cs="Arial"/>
        </w:rPr>
        <w:t>Wards</w:t>
      </w:r>
      <w:r w:rsidR="002E57F6" w:rsidRPr="00B848CD">
        <w:rPr>
          <w:rFonts w:ascii="Arial" w:hAnsi="Arial" w:cs="Arial"/>
        </w:rPr>
        <w:t xml:space="preserve"> 20, 22 and PICU will continue to operate on the Burnley site. A closure date has not been set and it has been agreed that this will be determined by the measured reduction in in-patient demand rather than by a pre-determined date.</w:t>
      </w:r>
    </w:p>
    <w:p w:rsidR="002730AA" w:rsidRPr="00B848CD" w:rsidRDefault="002730AA" w:rsidP="007469EF">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489"/>
        <w:gridCol w:w="1437"/>
        <w:gridCol w:w="1697"/>
        <w:gridCol w:w="1526"/>
      </w:tblGrid>
      <w:tr w:rsidR="004F6710" w:rsidRPr="00B848CD" w:rsidTr="004F6710">
        <w:trPr>
          <w:trHeight w:val="251"/>
        </w:trPr>
        <w:tc>
          <w:tcPr>
            <w:tcW w:w="1985" w:type="dxa"/>
          </w:tcPr>
          <w:p w:rsidR="004F6710" w:rsidRPr="00B848CD" w:rsidRDefault="004F6710" w:rsidP="002730AA">
            <w:pPr>
              <w:rPr>
                <w:rFonts w:ascii="Arial" w:hAnsi="Arial" w:cs="Arial"/>
                <w:b/>
              </w:rPr>
            </w:pPr>
            <w:r w:rsidRPr="00B848CD">
              <w:rPr>
                <w:rFonts w:ascii="Arial" w:hAnsi="Arial" w:cs="Arial"/>
                <w:b/>
              </w:rPr>
              <w:t xml:space="preserve">Locality </w:t>
            </w:r>
          </w:p>
        </w:tc>
        <w:tc>
          <w:tcPr>
            <w:tcW w:w="2489" w:type="dxa"/>
            <w:shd w:val="clear" w:color="auto" w:fill="auto"/>
          </w:tcPr>
          <w:p w:rsidR="004F6710" w:rsidRPr="00B848CD" w:rsidRDefault="004F6710" w:rsidP="002730AA">
            <w:pPr>
              <w:rPr>
                <w:rFonts w:ascii="Arial" w:hAnsi="Arial" w:cs="Arial"/>
                <w:b/>
              </w:rPr>
            </w:pPr>
            <w:r w:rsidRPr="00B848CD">
              <w:rPr>
                <w:rFonts w:ascii="Arial" w:hAnsi="Arial" w:cs="Arial"/>
                <w:b/>
              </w:rPr>
              <w:t>Ward Name</w:t>
            </w:r>
          </w:p>
        </w:tc>
        <w:tc>
          <w:tcPr>
            <w:tcW w:w="1437" w:type="dxa"/>
            <w:shd w:val="clear" w:color="auto" w:fill="auto"/>
          </w:tcPr>
          <w:p w:rsidR="004F6710" w:rsidRPr="00B848CD" w:rsidRDefault="004F6710" w:rsidP="002730AA">
            <w:pPr>
              <w:rPr>
                <w:rFonts w:ascii="Arial" w:hAnsi="Arial" w:cs="Arial"/>
                <w:b/>
              </w:rPr>
            </w:pPr>
            <w:r w:rsidRPr="00B848CD">
              <w:rPr>
                <w:rFonts w:ascii="Arial" w:hAnsi="Arial" w:cs="Arial"/>
                <w:b/>
              </w:rPr>
              <w:t>Client Group</w:t>
            </w:r>
          </w:p>
        </w:tc>
        <w:tc>
          <w:tcPr>
            <w:tcW w:w="1697" w:type="dxa"/>
            <w:shd w:val="clear" w:color="auto" w:fill="auto"/>
          </w:tcPr>
          <w:p w:rsidR="004F6710" w:rsidRPr="00B848CD" w:rsidRDefault="004F6710" w:rsidP="002730AA">
            <w:pPr>
              <w:rPr>
                <w:rFonts w:ascii="Arial" w:hAnsi="Arial" w:cs="Arial"/>
                <w:b/>
              </w:rPr>
            </w:pPr>
            <w:r w:rsidRPr="00B848CD">
              <w:rPr>
                <w:rFonts w:ascii="Arial" w:hAnsi="Arial" w:cs="Arial"/>
                <w:b/>
              </w:rPr>
              <w:t>Location</w:t>
            </w:r>
          </w:p>
        </w:tc>
        <w:tc>
          <w:tcPr>
            <w:tcW w:w="1526" w:type="dxa"/>
          </w:tcPr>
          <w:p w:rsidR="004F6710" w:rsidRPr="00B848CD" w:rsidRDefault="004F6710" w:rsidP="002730AA">
            <w:pPr>
              <w:rPr>
                <w:rFonts w:ascii="Arial" w:hAnsi="Arial" w:cs="Arial"/>
                <w:b/>
              </w:rPr>
            </w:pPr>
            <w:r w:rsidRPr="00B848CD">
              <w:rPr>
                <w:rFonts w:ascii="Arial" w:hAnsi="Arial" w:cs="Arial"/>
                <w:b/>
              </w:rPr>
              <w:t xml:space="preserve">Closure Date </w:t>
            </w:r>
          </w:p>
        </w:tc>
      </w:tr>
      <w:tr w:rsidR="004F6710" w:rsidRPr="00B848CD" w:rsidTr="004F6710">
        <w:trPr>
          <w:trHeight w:val="753"/>
        </w:trPr>
        <w:tc>
          <w:tcPr>
            <w:tcW w:w="1985" w:type="dxa"/>
          </w:tcPr>
          <w:p w:rsidR="004F6710" w:rsidRPr="00B848CD" w:rsidRDefault="004F6710" w:rsidP="00047151">
            <w:pPr>
              <w:rPr>
                <w:rFonts w:ascii="Arial" w:hAnsi="Arial" w:cs="Arial"/>
              </w:rPr>
            </w:pPr>
            <w:r w:rsidRPr="00B848CD">
              <w:rPr>
                <w:rFonts w:ascii="Arial" w:hAnsi="Arial" w:cs="Arial"/>
              </w:rPr>
              <w:t xml:space="preserve">North Lancashire </w:t>
            </w:r>
          </w:p>
          <w:p w:rsidR="004F6710" w:rsidRPr="00B848CD" w:rsidRDefault="004F6710" w:rsidP="00047151">
            <w:pPr>
              <w:rPr>
                <w:rFonts w:ascii="Arial" w:hAnsi="Arial" w:cs="Arial"/>
              </w:rPr>
            </w:pPr>
          </w:p>
        </w:tc>
        <w:tc>
          <w:tcPr>
            <w:tcW w:w="2489" w:type="dxa"/>
            <w:shd w:val="clear" w:color="auto" w:fill="auto"/>
          </w:tcPr>
          <w:p w:rsidR="004F6710" w:rsidRPr="00B848CD" w:rsidRDefault="004F6710" w:rsidP="00047151">
            <w:pPr>
              <w:rPr>
                <w:rFonts w:ascii="Arial" w:hAnsi="Arial" w:cs="Arial"/>
              </w:rPr>
            </w:pPr>
            <w:r w:rsidRPr="00B848CD">
              <w:rPr>
                <w:rFonts w:ascii="Arial" w:hAnsi="Arial" w:cs="Arial"/>
              </w:rPr>
              <w:t xml:space="preserve">Oaklands Unit will close for refurbishment. Service to be merged with Lancaster Unit at Ridge Lea Hospital to provide 17 beds. </w:t>
            </w:r>
          </w:p>
        </w:tc>
        <w:tc>
          <w:tcPr>
            <w:tcW w:w="1437" w:type="dxa"/>
            <w:shd w:val="clear" w:color="auto" w:fill="auto"/>
          </w:tcPr>
          <w:p w:rsidR="004F6710" w:rsidRPr="00B848CD" w:rsidRDefault="004F6710" w:rsidP="002730AA">
            <w:pPr>
              <w:rPr>
                <w:rFonts w:ascii="Arial" w:hAnsi="Arial" w:cs="Arial"/>
              </w:rPr>
            </w:pPr>
            <w:r w:rsidRPr="00B848CD">
              <w:rPr>
                <w:rFonts w:ascii="Arial" w:hAnsi="Arial" w:cs="Arial"/>
              </w:rPr>
              <w:t xml:space="preserve">Functional and advanced care </w:t>
            </w:r>
          </w:p>
        </w:tc>
        <w:tc>
          <w:tcPr>
            <w:tcW w:w="1697" w:type="dxa"/>
            <w:shd w:val="clear" w:color="auto" w:fill="auto"/>
          </w:tcPr>
          <w:p w:rsidR="004F6710" w:rsidRPr="00B848CD" w:rsidRDefault="004F6710" w:rsidP="002730AA">
            <w:pPr>
              <w:rPr>
                <w:rFonts w:ascii="Arial" w:hAnsi="Arial" w:cs="Arial"/>
              </w:rPr>
            </w:pPr>
            <w:r w:rsidRPr="00B848CD">
              <w:rPr>
                <w:rFonts w:ascii="Arial" w:hAnsi="Arial" w:cs="Arial"/>
              </w:rPr>
              <w:t xml:space="preserve">Lancaster </w:t>
            </w:r>
          </w:p>
          <w:p w:rsidR="004F6710" w:rsidRPr="00B848CD" w:rsidRDefault="004F6710" w:rsidP="002730AA">
            <w:pPr>
              <w:rPr>
                <w:rFonts w:ascii="Arial" w:hAnsi="Arial" w:cs="Arial"/>
              </w:rPr>
            </w:pPr>
          </w:p>
        </w:tc>
        <w:tc>
          <w:tcPr>
            <w:tcW w:w="1526" w:type="dxa"/>
          </w:tcPr>
          <w:p w:rsidR="004F6710" w:rsidRPr="00B848CD" w:rsidRDefault="00D478CA" w:rsidP="00456AEF">
            <w:pPr>
              <w:rPr>
                <w:rFonts w:ascii="Arial" w:hAnsi="Arial" w:cs="Arial"/>
              </w:rPr>
            </w:pPr>
            <w:r w:rsidRPr="00B848CD">
              <w:rPr>
                <w:rFonts w:ascii="Arial" w:hAnsi="Arial" w:cs="Arial"/>
              </w:rPr>
              <w:t>November</w:t>
            </w:r>
            <w:r w:rsidR="004F6710" w:rsidRPr="00B848CD">
              <w:rPr>
                <w:rFonts w:ascii="Arial" w:hAnsi="Arial" w:cs="Arial"/>
              </w:rPr>
              <w:t xml:space="preserve"> 2012</w:t>
            </w:r>
          </w:p>
        </w:tc>
      </w:tr>
      <w:tr w:rsidR="004F6710" w:rsidRPr="00B848CD" w:rsidTr="004F6710">
        <w:trPr>
          <w:trHeight w:val="738"/>
        </w:trPr>
        <w:tc>
          <w:tcPr>
            <w:tcW w:w="1985" w:type="dxa"/>
          </w:tcPr>
          <w:p w:rsidR="004F6710" w:rsidRPr="00B848CD" w:rsidRDefault="004F6710" w:rsidP="002730AA">
            <w:pPr>
              <w:rPr>
                <w:rFonts w:ascii="Arial" w:hAnsi="Arial" w:cs="Arial"/>
              </w:rPr>
            </w:pPr>
            <w:r w:rsidRPr="00B848CD">
              <w:rPr>
                <w:rFonts w:ascii="Arial" w:hAnsi="Arial" w:cs="Arial"/>
              </w:rPr>
              <w:t>East Lancashire</w:t>
            </w:r>
          </w:p>
        </w:tc>
        <w:tc>
          <w:tcPr>
            <w:tcW w:w="2489" w:type="dxa"/>
            <w:shd w:val="clear" w:color="auto" w:fill="auto"/>
          </w:tcPr>
          <w:p w:rsidR="004F6710" w:rsidRPr="00B848CD" w:rsidRDefault="004F6710" w:rsidP="00911EB5">
            <w:pPr>
              <w:rPr>
                <w:rFonts w:ascii="Arial" w:hAnsi="Arial" w:cs="Arial"/>
              </w:rPr>
            </w:pPr>
            <w:r w:rsidRPr="00B848CD">
              <w:rPr>
                <w:rFonts w:ascii="Arial" w:hAnsi="Arial" w:cs="Arial"/>
              </w:rPr>
              <w:t>Wards 18 (female)</w:t>
            </w:r>
          </w:p>
          <w:p w:rsidR="00911EB5" w:rsidRPr="00B848CD" w:rsidRDefault="00911EB5" w:rsidP="00911EB5">
            <w:pPr>
              <w:rPr>
                <w:rFonts w:ascii="Arial" w:hAnsi="Arial" w:cs="Arial"/>
              </w:rPr>
            </w:pPr>
            <w:r w:rsidRPr="00B848CD">
              <w:rPr>
                <w:rFonts w:ascii="Arial" w:hAnsi="Arial" w:cs="Arial"/>
              </w:rPr>
              <w:t>Ward 19</w:t>
            </w:r>
          </w:p>
        </w:tc>
        <w:tc>
          <w:tcPr>
            <w:tcW w:w="1437" w:type="dxa"/>
            <w:shd w:val="clear" w:color="auto" w:fill="auto"/>
          </w:tcPr>
          <w:p w:rsidR="004F6710" w:rsidRPr="00B848CD" w:rsidRDefault="004F6710" w:rsidP="002730AA">
            <w:pPr>
              <w:rPr>
                <w:rFonts w:ascii="Arial" w:hAnsi="Arial" w:cs="Arial"/>
              </w:rPr>
            </w:pPr>
            <w:r w:rsidRPr="00B848CD">
              <w:rPr>
                <w:rFonts w:ascii="Arial" w:hAnsi="Arial" w:cs="Arial"/>
              </w:rPr>
              <w:t xml:space="preserve">Functional </w:t>
            </w:r>
          </w:p>
          <w:p w:rsidR="00911EB5" w:rsidRPr="00B848CD" w:rsidRDefault="00911EB5" w:rsidP="002730AA">
            <w:pPr>
              <w:rPr>
                <w:rFonts w:ascii="Arial" w:hAnsi="Arial" w:cs="Arial"/>
              </w:rPr>
            </w:pPr>
            <w:r w:rsidRPr="00B848CD">
              <w:rPr>
                <w:rFonts w:ascii="Arial" w:hAnsi="Arial" w:cs="Arial"/>
              </w:rPr>
              <w:t>Dementia</w:t>
            </w:r>
          </w:p>
        </w:tc>
        <w:tc>
          <w:tcPr>
            <w:tcW w:w="1697" w:type="dxa"/>
            <w:shd w:val="clear" w:color="auto" w:fill="auto"/>
          </w:tcPr>
          <w:p w:rsidR="004F6710" w:rsidRPr="00B848CD" w:rsidRDefault="004F6710" w:rsidP="002730AA">
            <w:pPr>
              <w:rPr>
                <w:rFonts w:ascii="Arial" w:hAnsi="Arial" w:cs="Arial"/>
              </w:rPr>
            </w:pPr>
            <w:r w:rsidRPr="00B848CD">
              <w:rPr>
                <w:rFonts w:ascii="Arial" w:hAnsi="Arial" w:cs="Arial"/>
              </w:rPr>
              <w:t xml:space="preserve">Burnley General Hospital </w:t>
            </w:r>
          </w:p>
        </w:tc>
        <w:tc>
          <w:tcPr>
            <w:tcW w:w="1526" w:type="dxa"/>
          </w:tcPr>
          <w:p w:rsidR="004F6710" w:rsidRPr="00B848CD" w:rsidRDefault="004F6710" w:rsidP="002730AA">
            <w:pPr>
              <w:rPr>
                <w:rFonts w:ascii="Arial" w:hAnsi="Arial" w:cs="Arial"/>
              </w:rPr>
            </w:pPr>
            <w:r w:rsidRPr="00B848CD">
              <w:rPr>
                <w:rFonts w:ascii="Arial" w:hAnsi="Arial" w:cs="Arial"/>
              </w:rPr>
              <w:t xml:space="preserve">March 2013 </w:t>
            </w:r>
          </w:p>
        </w:tc>
      </w:tr>
    </w:tbl>
    <w:p w:rsidR="00AA75F1" w:rsidRPr="00B848CD" w:rsidRDefault="00AA75F1" w:rsidP="007469EF">
      <w:pPr>
        <w:rPr>
          <w:rFonts w:ascii="Arial" w:hAnsi="Arial" w:cs="Arial"/>
        </w:rPr>
      </w:pPr>
    </w:p>
    <w:p w:rsidR="003A54E6" w:rsidRPr="00B848CD" w:rsidRDefault="003A54E6" w:rsidP="007469EF">
      <w:pPr>
        <w:rPr>
          <w:rFonts w:ascii="Arial" w:hAnsi="Arial" w:cs="Arial"/>
          <w:b/>
        </w:rPr>
      </w:pPr>
      <w:r w:rsidRPr="00B848CD">
        <w:rPr>
          <w:rFonts w:ascii="Arial" w:hAnsi="Arial" w:cs="Arial"/>
          <w:b/>
        </w:rPr>
        <w:t xml:space="preserve">Development of Mental Health Services in North Lancashire </w:t>
      </w:r>
    </w:p>
    <w:p w:rsidR="00CF5AC9" w:rsidRPr="00B848CD" w:rsidRDefault="00EA189E" w:rsidP="007469EF">
      <w:pPr>
        <w:rPr>
          <w:rFonts w:ascii="Arial" w:hAnsi="Arial" w:cs="Arial"/>
          <w:b/>
        </w:rPr>
      </w:pPr>
      <w:r w:rsidRPr="00B848CD">
        <w:rPr>
          <w:rFonts w:ascii="Arial" w:hAnsi="Arial" w:cs="Arial"/>
          <w:b/>
        </w:rPr>
        <w:t>Merging of Oaklands and Lancaster Unit</w:t>
      </w:r>
    </w:p>
    <w:p w:rsidR="009C5054" w:rsidRPr="00B848CD" w:rsidRDefault="009C5054" w:rsidP="007469EF">
      <w:pPr>
        <w:rPr>
          <w:rFonts w:ascii="Arial" w:hAnsi="Arial" w:cs="Arial"/>
          <w:b/>
        </w:rPr>
      </w:pPr>
    </w:p>
    <w:p w:rsidR="009C5054" w:rsidRPr="00B848CD" w:rsidRDefault="00863FB3" w:rsidP="007469EF">
      <w:pPr>
        <w:rPr>
          <w:rFonts w:ascii="Arial" w:hAnsi="Arial" w:cs="Arial"/>
        </w:rPr>
      </w:pPr>
      <w:r w:rsidRPr="00B848CD">
        <w:rPr>
          <w:rFonts w:ascii="Arial" w:hAnsi="Arial" w:cs="Arial"/>
        </w:rPr>
        <w:t xml:space="preserve">A public consultation was undertaken in 2009 </w:t>
      </w:r>
      <w:r w:rsidR="006100C8" w:rsidRPr="00B848CD">
        <w:rPr>
          <w:rFonts w:ascii="Arial" w:hAnsi="Arial" w:cs="Arial"/>
        </w:rPr>
        <w:t>regarding</w:t>
      </w:r>
      <w:r w:rsidR="00772549" w:rsidRPr="00B848CD">
        <w:rPr>
          <w:rFonts w:ascii="Arial" w:hAnsi="Arial" w:cs="Arial"/>
        </w:rPr>
        <w:t xml:space="preserve"> the future of mental health inpatient services for North Lancashire</w:t>
      </w:r>
      <w:r w:rsidR="003B4BCA" w:rsidRPr="00B848CD">
        <w:rPr>
          <w:rFonts w:ascii="Arial" w:hAnsi="Arial" w:cs="Arial"/>
        </w:rPr>
        <w:t xml:space="preserve"> (Lancaster.)</w:t>
      </w:r>
      <w:r w:rsidR="00772549" w:rsidRPr="00B848CD">
        <w:rPr>
          <w:rFonts w:ascii="Arial" w:hAnsi="Arial" w:cs="Arial"/>
        </w:rPr>
        <w:t xml:space="preserve"> The consultation </w:t>
      </w:r>
      <w:r w:rsidRPr="00B848CD">
        <w:rPr>
          <w:rFonts w:ascii="Arial" w:hAnsi="Arial" w:cs="Arial"/>
        </w:rPr>
        <w:t xml:space="preserve">recommended that the </w:t>
      </w:r>
      <w:r w:rsidR="00772549" w:rsidRPr="00B848CD">
        <w:rPr>
          <w:rFonts w:ascii="Arial" w:hAnsi="Arial" w:cs="Arial"/>
        </w:rPr>
        <w:t xml:space="preserve">Trust’s existing facility for older people, the </w:t>
      </w:r>
      <w:r w:rsidRPr="00B848CD">
        <w:rPr>
          <w:rFonts w:ascii="Arial" w:hAnsi="Arial" w:cs="Arial"/>
        </w:rPr>
        <w:t xml:space="preserve">Oaklands Unit </w:t>
      </w:r>
      <w:r w:rsidR="00772549" w:rsidRPr="00B848CD">
        <w:rPr>
          <w:rFonts w:ascii="Arial" w:hAnsi="Arial" w:cs="Arial"/>
        </w:rPr>
        <w:t xml:space="preserve">on Pathfinders Drive in Lancaster </w:t>
      </w:r>
      <w:r w:rsidRPr="00B848CD">
        <w:rPr>
          <w:rFonts w:ascii="Arial" w:hAnsi="Arial" w:cs="Arial"/>
        </w:rPr>
        <w:t xml:space="preserve">should be </w:t>
      </w:r>
      <w:r w:rsidR="00772549" w:rsidRPr="00B848CD">
        <w:rPr>
          <w:rFonts w:ascii="Arial" w:hAnsi="Arial" w:cs="Arial"/>
        </w:rPr>
        <w:t>re-</w:t>
      </w:r>
      <w:r w:rsidRPr="00B848CD">
        <w:rPr>
          <w:rFonts w:ascii="Arial" w:hAnsi="Arial" w:cs="Arial"/>
        </w:rPr>
        <w:t>developed as an inpatient service for</w:t>
      </w:r>
      <w:r w:rsidR="004A74D3" w:rsidRPr="00B848CD">
        <w:rPr>
          <w:rFonts w:ascii="Arial" w:hAnsi="Arial" w:cs="Arial"/>
        </w:rPr>
        <w:t xml:space="preserve"> adults aged 18 and over with a functional mental health </w:t>
      </w:r>
      <w:r w:rsidR="00976D5E" w:rsidRPr="00B848CD">
        <w:rPr>
          <w:rFonts w:ascii="Arial" w:hAnsi="Arial" w:cs="Arial"/>
        </w:rPr>
        <w:t xml:space="preserve">need </w:t>
      </w:r>
      <w:r w:rsidR="004A74D3" w:rsidRPr="00B848CD">
        <w:rPr>
          <w:rFonts w:ascii="Arial" w:hAnsi="Arial" w:cs="Arial"/>
        </w:rPr>
        <w:t>in</w:t>
      </w:r>
      <w:r w:rsidRPr="00B848CD">
        <w:rPr>
          <w:rFonts w:ascii="Arial" w:hAnsi="Arial" w:cs="Arial"/>
        </w:rPr>
        <w:t xml:space="preserve"> North Lancashire</w:t>
      </w:r>
      <w:r w:rsidR="004A74D3" w:rsidRPr="00B848CD">
        <w:rPr>
          <w:rFonts w:ascii="Arial" w:hAnsi="Arial" w:cs="Arial"/>
        </w:rPr>
        <w:t>.</w:t>
      </w:r>
      <w:r w:rsidR="00772549" w:rsidRPr="00B848CD">
        <w:rPr>
          <w:rFonts w:ascii="Arial" w:hAnsi="Arial" w:cs="Arial"/>
        </w:rPr>
        <w:t xml:space="preserve"> </w:t>
      </w:r>
      <w:r w:rsidR="003A54E6" w:rsidRPr="00B848CD">
        <w:rPr>
          <w:rFonts w:ascii="Arial" w:hAnsi="Arial" w:cs="Arial"/>
        </w:rPr>
        <w:t>A</w:t>
      </w:r>
      <w:r w:rsidR="00772549" w:rsidRPr="00B848CD">
        <w:rPr>
          <w:rFonts w:ascii="Arial" w:hAnsi="Arial" w:cs="Arial"/>
        </w:rPr>
        <w:t xml:space="preserve"> </w:t>
      </w:r>
      <w:r w:rsidRPr="00B848CD">
        <w:rPr>
          <w:rFonts w:ascii="Arial" w:hAnsi="Arial" w:cs="Arial"/>
        </w:rPr>
        <w:t xml:space="preserve">business case </w:t>
      </w:r>
      <w:r w:rsidR="00772549" w:rsidRPr="00B848CD">
        <w:rPr>
          <w:rFonts w:ascii="Arial" w:hAnsi="Arial" w:cs="Arial"/>
        </w:rPr>
        <w:t xml:space="preserve">for the re-development of the Oaklands Unit </w:t>
      </w:r>
      <w:r w:rsidRPr="00B848CD">
        <w:rPr>
          <w:rFonts w:ascii="Arial" w:hAnsi="Arial" w:cs="Arial"/>
        </w:rPr>
        <w:t xml:space="preserve">was </w:t>
      </w:r>
      <w:r w:rsidR="00772549" w:rsidRPr="00B848CD">
        <w:rPr>
          <w:rFonts w:ascii="Arial" w:hAnsi="Arial" w:cs="Arial"/>
        </w:rPr>
        <w:t xml:space="preserve">produced and subsequently </w:t>
      </w:r>
      <w:r w:rsidRPr="00B848CD">
        <w:rPr>
          <w:rFonts w:ascii="Arial" w:hAnsi="Arial" w:cs="Arial"/>
        </w:rPr>
        <w:t xml:space="preserve">approved </w:t>
      </w:r>
      <w:r w:rsidR="00772549" w:rsidRPr="00B848CD">
        <w:rPr>
          <w:rFonts w:ascii="Arial" w:hAnsi="Arial" w:cs="Arial"/>
        </w:rPr>
        <w:t xml:space="preserve">in </w:t>
      </w:r>
      <w:r w:rsidRPr="00B848CD">
        <w:rPr>
          <w:rFonts w:ascii="Arial" w:hAnsi="Arial" w:cs="Arial"/>
        </w:rPr>
        <w:t xml:space="preserve">October 2011. </w:t>
      </w:r>
    </w:p>
    <w:p w:rsidR="00772549" w:rsidRPr="00B848CD" w:rsidRDefault="00772549" w:rsidP="007469EF">
      <w:pPr>
        <w:rPr>
          <w:rFonts w:ascii="Arial" w:hAnsi="Arial" w:cs="Arial"/>
        </w:rPr>
      </w:pPr>
    </w:p>
    <w:p w:rsidR="00772549" w:rsidRPr="00B848CD" w:rsidRDefault="003E0883" w:rsidP="00772549">
      <w:pPr>
        <w:rPr>
          <w:rFonts w:ascii="Arial" w:hAnsi="Arial" w:cs="Arial"/>
        </w:rPr>
      </w:pPr>
      <w:r w:rsidRPr="00B848CD">
        <w:rPr>
          <w:rFonts w:ascii="Arial" w:hAnsi="Arial" w:cs="Arial"/>
        </w:rPr>
        <w:t>The plans for the new in-patient service in Lancaster</w:t>
      </w:r>
      <w:r w:rsidR="00772549" w:rsidRPr="00B848CD">
        <w:rPr>
          <w:rFonts w:ascii="Arial" w:hAnsi="Arial" w:cs="Arial"/>
        </w:rPr>
        <w:t xml:space="preserve"> </w:t>
      </w:r>
      <w:r w:rsidR="004A74D3" w:rsidRPr="00B848CD">
        <w:rPr>
          <w:rFonts w:ascii="Arial" w:hAnsi="Arial" w:cs="Arial"/>
        </w:rPr>
        <w:t xml:space="preserve">identified </w:t>
      </w:r>
      <w:r w:rsidR="00976D5E" w:rsidRPr="00B848CD">
        <w:rPr>
          <w:rFonts w:ascii="Arial" w:hAnsi="Arial" w:cs="Arial"/>
        </w:rPr>
        <w:t xml:space="preserve">the need for </w:t>
      </w:r>
      <w:r w:rsidR="004A74D3" w:rsidRPr="00B848CD">
        <w:rPr>
          <w:rFonts w:ascii="Arial" w:hAnsi="Arial" w:cs="Arial"/>
        </w:rPr>
        <w:t>an</w:t>
      </w:r>
      <w:r w:rsidR="00772549" w:rsidRPr="00B848CD">
        <w:rPr>
          <w:rFonts w:ascii="Arial" w:hAnsi="Arial" w:cs="Arial"/>
        </w:rPr>
        <w:t xml:space="preserve"> enabling scheme to re-locate community services </w:t>
      </w:r>
      <w:r w:rsidR="003A54E6" w:rsidRPr="00B848CD">
        <w:rPr>
          <w:rFonts w:ascii="Arial" w:hAnsi="Arial" w:cs="Arial"/>
        </w:rPr>
        <w:t>from the Oaklands Unit to a ne</w:t>
      </w:r>
      <w:r w:rsidR="00016A96" w:rsidRPr="00B848CD">
        <w:rPr>
          <w:rFonts w:ascii="Arial" w:hAnsi="Arial" w:cs="Arial"/>
        </w:rPr>
        <w:t>w</w:t>
      </w:r>
      <w:r w:rsidR="00772549" w:rsidRPr="00B848CD">
        <w:rPr>
          <w:rFonts w:ascii="Arial" w:hAnsi="Arial" w:cs="Arial"/>
        </w:rPr>
        <w:t xml:space="preserve"> facility on Ashton Road, Lancaster. </w:t>
      </w:r>
      <w:r w:rsidR="003A54E6" w:rsidRPr="00B848CD">
        <w:rPr>
          <w:rFonts w:ascii="Arial" w:hAnsi="Arial" w:cs="Arial"/>
        </w:rPr>
        <w:t>This development</w:t>
      </w:r>
      <w:r w:rsidR="00F67CEF" w:rsidRPr="00B848CD">
        <w:rPr>
          <w:rFonts w:ascii="Arial" w:hAnsi="Arial" w:cs="Arial"/>
        </w:rPr>
        <w:t>, De Vitre House</w:t>
      </w:r>
      <w:r w:rsidR="003A54E6" w:rsidRPr="00B848CD">
        <w:rPr>
          <w:rFonts w:ascii="Arial" w:hAnsi="Arial" w:cs="Arial"/>
        </w:rPr>
        <w:t xml:space="preserve"> </w:t>
      </w:r>
      <w:r w:rsidRPr="00B848CD">
        <w:rPr>
          <w:rFonts w:ascii="Arial" w:hAnsi="Arial" w:cs="Arial"/>
        </w:rPr>
        <w:t xml:space="preserve">opened in August </w:t>
      </w:r>
      <w:r w:rsidR="00772549" w:rsidRPr="00B848CD">
        <w:rPr>
          <w:rFonts w:ascii="Arial" w:hAnsi="Arial" w:cs="Arial"/>
        </w:rPr>
        <w:t xml:space="preserve">2012 </w:t>
      </w:r>
      <w:r w:rsidRPr="00B848CD">
        <w:rPr>
          <w:rFonts w:ascii="Arial" w:hAnsi="Arial" w:cs="Arial"/>
        </w:rPr>
        <w:t>and</w:t>
      </w:r>
      <w:r w:rsidR="00772549" w:rsidRPr="00B848CD">
        <w:rPr>
          <w:rFonts w:ascii="Arial" w:hAnsi="Arial" w:cs="Arial"/>
        </w:rPr>
        <w:t xml:space="preserve"> provide</w:t>
      </w:r>
      <w:r w:rsidRPr="00B848CD">
        <w:rPr>
          <w:rFonts w:ascii="Arial" w:hAnsi="Arial" w:cs="Arial"/>
        </w:rPr>
        <w:t>s</w:t>
      </w:r>
      <w:r w:rsidR="00772549" w:rsidRPr="00B848CD">
        <w:rPr>
          <w:rFonts w:ascii="Arial" w:hAnsi="Arial" w:cs="Arial"/>
        </w:rPr>
        <w:t xml:space="preserve"> a new resource centre for older adults comprising</w:t>
      </w:r>
      <w:r w:rsidR="004A74D3" w:rsidRPr="00B848CD">
        <w:rPr>
          <w:rFonts w:ascii="Arial" w:hAnsi="Arial" w:cs="Arial"/>
        </w:rPr>
        <w:t xml:space="preserve">; </w:t>
      </w:r>
      <w:r w:rsidR="00F2754A" w:rsidRPr="00B848CD">
        <w:rPr>
          <w:rFonts w:ascii="Arial" w:hAnsi="Arial" w:cs="Arial"/>
        </w:rPr>
        <w:t>Memory Assessment Services, Community Mental Health Team, Intermediate Support Team an</w:t>
      </w:r>
      <w:bookmarkStart w:id="0" w:name="_GoBack"/>
      <w:bookmarkEnd w:id="0"/>
      <w:r w:rsidR="00F2754A" w:rsidRPr="00B848CD">
        <w:rPr>
          <w:rFonts w:ascii="Arial" w:hAnsi="Arial" w:cs="Arial"/>
        </w:rPr>
        <w:t xml:space="preserve">d enhanced day care run jointly with the local authority. </w:t>
      </w:r>
      <w:r w:rsidR="00D478CA" w:rsidRPr="00B848CD">
        <w:rPr>
          <w:rFonts w:ascii="Arial" w:hAnsi="Arial" w:cs="Arial"/>
        </w:rPr>
        <w:t>T</w:t>
      </w:r>
      <w:r w:rsidR="00F2754A" w:rsidRPr="00B848CD">
        <w:rPr>
          <w:rFonts w:ascii="Arial" w:hAnsi="Arial" w:cs="Arial"/>
        </w:rPr>
        <w:t xml:space="preserve">he </w:t>
      </w:r>
      <w:r w:rsidR="00F2754A" w:rsidRPr="00B848CD">
        <w:rPr>
          <w:rFonts w:ascii="Arial" w:hAnsi="Arial" w:cs="Arial"/>
        </w:rPr>
        <w:lastRenderedPageBreak/>
        <w:t xml:space="preserve">Oaklands Unit </w:t>
      </w:r>
      <w:r w:rsidR="00D478CA" w:rsidRPr="00B848CD">
        <w:rPr>
          <w:rFonts w:ascii="Arial" w:hAnsi="Arial" w:cs="Arial"/>
        </w:rPr>
        <w:t xml:space="preserve">is now being prepared for closure so that major re-development </w:t>
      </w:r>
      <w:r w:rsidR="00F2754A" w:rsidRPr="00B848CD">
        <w:rPr>
          <w:rFonts w:ascii="Arial" w:hAnsi="Arial" w:cs="Arial"/>
        </w:rPr>
        <w:t>work can begin</w:t>
      </w:r>
      <w:r w:rsidR="00D478CA" w:rsidRPr="00B848CD">
        <w:rPr>
          <w:rFonts w:ascii="Arial" w:hAnsi="Arial" w:cs="Arial"/>
        </w:rPr>
        <w:t xml:space="preserve"> before the end of 2012</w:t>
      </w:r>
      <w:r w:rsidR="00F2754A" w:rsidRPr="00B848CD">
        <w:rPr>
          <w:rFonts w:ascii="Arial" w:hAnsi="Arial" w:cs="Arial"/>
        </w:rPr>
        <w:t xml:space="preserve">. </w:t>
      </w:r>
    </w:p>
    <w:p w:rsidR="00F2754A" w:rsidRPr="00B848CD" w:rsidRDefault="00F2754A" w:rsidP="00772549">
      <w:pPr>
        <w:rPr>
          <w:rFonts w:ascii="Arial" w:hAnsi="Arial" w:cs="Arial"/>
        </w:rPr>
      </w:pPr>
    </w:p>
    <w:p w:rsidR="00863FB3" w:rsidRPr="00B848CD" w:rsidRDefault="003E0883" w:rsidP="00F2754A">
      <w:pPr>
        <w:rPr>
          <w:rFonts w:ascii="Arial" w:hAnsi="Arial" w:cs="Arial"/>
        </w:rPr>
      </w:pPr>
      <w:r w:rsidRPr="00B848CD">
        <w:rPr>
          <w:rFonts w:ascii="Arial" w:hAnsi="Arial" w:cs="Arial"/>
        </w:rPr>
        <w:t>T</w:t>
      </w:r>
      <w:r w:rsidR="00F2754A" w:rsidRPr="00B848CD">
        <w:rPr>
          <w:rFonts w:ascii="Arial" w:hAnsi="Arial" w:cs="Arial"/>
        </w:rPr>
        <w:t>he inpatient beds provided from the Oaklands Unit will merge with t</w:t>
      </w:r>
      <w:r w:rsidR="003A54E6" w:rsidRPr="00B848CD">
        <w:rPr>
          <w:rFonts w:ascii="Arial" w:hAnsi="Arial" w:cs="Arial"/>
        </w:rPr>
        <w:t xml:space="preserve">he </w:t>
      </w:r>
      <w:r w:rsidR="00F2754A" w:rsidRPr="00B848CD">
        <w:rPr>
          <w:rFonts w:ascii="Arial" w:hAnsi="Arial" w:cs="Arial"/>
        </w:rPr>
        <w:t xml:space="preserve">Lancaster Unit at Ridge Lea Hospital in Lancaster. This will provide a </w:t>
      </w:r>
      <w:r w:rsidR="00021B96" w:rsidRPr="00B848CD">
        <w:rPr>
          <w:rFonts w:ascii="Arial" w:hAnsi="Arial" w:cs="Arial"/>
        </w:rPr>
        <w:t>temporary service for the North Lancashire locality</w:t>
      </w:r>
      <w:r w:rsidRPr="00B848CD">
        <w:rPr>
          <w:rFonts w:ascii="Arial" w:hAnsi="Arial" w:cs="Arial"/>
        </w:rPr>
        <w:t xml:space="preserve"> that will be providing the new model of needs-based inpatient care in preparation for the move back to Oaklands</w:t>
      </w:r>
      <w:r w:rsidR="00EC5846" w:rsidRPr="00B848CD">
        <w:rPr>
          <w:rFonts w:ascii="Arial" w:hAnsi="Arial" w:cs="Arial"/>
        </w:rPr>
        <w:t xml:space="preserve">. </w:t>
      </w:r>
      <w:r w:rsidR="00926E2C" w:rsidRPr="00B848CD">
        <w:rPr>
          <w:rFonts w:ascii="Arial" w:hAnsi="Arial" w:cs="Arial"/>
        </w:rPr>
        <w:t xml:space="preserve">To support the transitional period, 8 additional beds for older people with functional mental health needs will be provided at Altham Meadows in Morecambe on an interim basis from October 2012 until June 2013. </w:t>
      </w:r>
    </w:p>
    <w:p w:rsidR="00F2754A" w:rsidRPr="00B848CD" w:rsidRDefault="00F2754A" w:rsidP="00F2754A">
      <w:pPr>
        <w:rPr>
          <w:rFonts w:ascii="Arial" w:hAnsi="Arial" w:cs="Arial"/>
        </w:rPr>
      </w:pPr>
    </w:p>
    <w:p w:rsidR="00863FB3" w:rsidRDefault="00863FB3" w:rsidP="007469EF">
      <w:pPr>
        <w:rPr>
          <w:rFonts w:ascii="Arial" w:hAnsi="Arial" w:cs="Arial"/>
        </w:rPr>
      </w:pPr>
      <w:r w:rsidRPr="00B848CD">
        <w:rPr>
          <w:rFonts w:ascii="Arial" w:hAnsi="Arial" w:cs="Arial"/>
        </w:rPr>
        <w:t xml:space="preserve">This </w:t>
      </w:r>
      <w:r w:rsidR="00926E2C" w:rsidRPr="00B848CD">
        <w:rPr>
          <w:rFonts w:ascii="Arial" w:hAnsi="Arial" w:cs="Arial"/>
        </w:rPr>
        <w:t xml:space="preserve">represents a reduction </w:t>
      </w:r>
      <w:r w:rsidRPr="00B848CD">
        <w:rPr>
          <w:rFonts w:ascii="Arial" w:hAnsi="Arial" w:cs="Arial"/>
        </w:rPr>
        <w:t>in beds</w:t>
      </w:r>
      <w:r w:rsidR="00926E2C" w:rsidRPr="00B848CD">
        <w:rPr>
          <w:rFonts w:ascii="Arial" w:hAnsi="Arial" w:cs="Arial"/>
        </w:rPr>
        <w:t xml:space="preserve"> from 37 to 25 which</w:t>
      </w:r>
      <w:r w:rsidRPr="00B848CD">
        <w:rPr>
          <w:rFonts w:ascii="Arial" w:hAnsi="Arial" w:cs="Arial"/>
        </w:rPr>
        <w:t xml:space="preserve"> can be achiev</w:t>
      </w:r>
      <w:r w:rsidR="00F2754A" w:rsidRPr="00B848CD">
        <w:rPr>
          <w:rFonts w:ascii="Arial" w:hAnsi="Arial" w:cs="Arial"/>
        </w:rPr>
        <w:t>ed safely due to the investment</w:t>
      </w:r>
      <w:r w:rsidRPr="00B848CD">
        <w:rPr>
          <w:rFonts w:ascii="Arial" w:hAnsi="Arial" w:cs="Arial"/>
        </w:rPr>
        <w:t xml:space="preserve"> that has b</w:t>
      </w:r>
      <w:r w:rsidR="00F2754A" w:rsidRPr="00B848CD">
        <w:rPr>
          <w:rFonts w:ascii="Arial" w:hAnsi="Arial" w:cs="Arial"/>
        </w:rPr>
        <w:t>e</w:t>
      </w:r>
      <w:r w:rsidRPr="00B848CD">
        <w:rPr>
          <w:rFonts w:ascii="Arial" w:hAnsi="Arial" w:cs="Arial"/>
        </w:rPr>
        <w:t>en made into community services</w:t>
      </w:r>
      <w:r w:rsidR="00F2754A" w:rsidRPr="00B848CD">
        <w:rPr>
          <w:rFonts w:ascii="Arial" w:hAnsi="Arial" w:cs="Arial"/>
        </w:rPr>
        <w:t xml:space="preserve"> in the area</w:t>
      </w:r>
      <w:r w:rsidRPr="00B848CD">
        <w:rPr>
          <w:rFonts w:ascii="Arial" w:hAnsi="Arial" w:cs="Arial"/>
        </w:rPr>
        <w:t xml:space="preserve">. Within the North Lancashire locality there are a range of community services </w:t>
      </w:r>
      <w:r w:rsidR="00C35CD7" w:rsidRPr="00B848CD">
        <w:rPr>
          <w:rFonts w:ascii="Arial" w:hAnsi="Arial" w:cs="Arial"/>
        </w:rPr>
        <w:t>for both adults of working age</w:t>
      </w:r>
      <w:r w:rsidR="003E0883" w:rsidRPr="00B848CD">
        <w:rPr>
          <w:rFonts w:ascii="Arial" w:hAnsi="Arial" w:cs="Arial"/>
        </w:rPr>
        <w:t xml:space="preserve"> </w:t>
      </w:r>
      <w:r w:rsidR="00C35CD7" w:rsidRPr="00B848CD">
        <w:rPr>
          <w:rFonts w:ascii="Arial" w:hAnsi="Arial" w:cs="Arial"/>
        </w:rPr>
        <w:t xml:space="preserve">and older people </w:t>
      </w:r>
      <w:r w:rsidRPr="00B848CD">
        <w:rPr>
          <w:rFonts w:ascii="Arial" w:hAnsi="Arial" w:cs="Arial"/>
        </w:rPr>
        <w:t>that operate 7 days a week</w:t>
      </w:r>
      <w:r w:rsidR="00F2754A" w:rsidRPr="00B848CD">
        <w:rPr>
          <w:rFonts w:ascii="Arial" w:hAnsi="Arial" w:cs="Arial"/>
        </w:rPr>
        <w:t xml:space="preserve"> to provide a comprehensive package of care to support people to be cared for in their home environment or community setting. </w:t>
      </w:r>
    </w:p>
    <w:p w:rsidR="00B848CD" w:rsidRPr="00B848CD" w:rsidRDefault="00B848CD" w:rsidP="007469EF">
      <w:pPr>
        <w:rPr>
          <w:rFonts w:ascii="Arial" w:hAnsi="Arial" w:cs="Arial"/>
        </w:rPr>
      </w:pPr>
    </w:p>
    <w:p w:rsidR="00994286" w:rsidRPr="00B848CD" w:rsidRDefault="00021B96" w:rsidP="007469EF">
      <w:pPr>
        <w:rPr>
          <w:rFonts w:ascii="Arial" w:hAnsi="Arial" w:cs="Arial"/>
        </w:rPr>
      </w:pPr>
      <w:r w:rsidRPr="00B848CD">
        <w:rPr>
          <w:rFonts w:ascii="Arial" w:hAnsi="Arial" w:cs="Arial"/>
        </w:rPr>
        <w:t>The Trust is w</w:t>
      </w:r>
      <w:r w:rsidR="00863FB3" w:rsidRPr="00B848CD">
        <w:rPr>
          <w:rFonts w:ascii="Arial" w:hAnsi="Arial" w:cs="Arial"/>
        </w:rPr>
        <w:t>orking closely with GPs and lead commissioners to ensure that there is sufficient capacity in community se</w:t>
      </w:r>
      <w:r w:rsidR="0072796B" w:rsidRPr="00B848CD">
        <w:rPr>
          <w:rFonts w:ascii="Arial" w:hAnsi="Arial" w:cs="Arial"/>
        </w:rPr>
        <w:t xml:space="preserve">rvices. </w:t>
      </w:r>
      <w:r w:rsidR="00093F52" w:rsidRPr="00B848CD">
        <w:rPr>
          <w:rFonts w:ascii="Arial" w:hAnsi="Arial" w:cs="Arial"/>
        </w:rPr>
        <w:t xml:space="preserve">Investment is also being made to provide specialist skilled teams. For example, </w:t>
      </w:r>
      <w:r w:rsidR="00926E2C" w:rsidRPr="00B848CD">
        <w:rPr>
          <w:rFonts w:ascii="Arial" w:hAnsi="Arial" w:cs="Arial"/>
        </w:rPr>
        <w:t>the Trust has developed</w:t>
      </w:r>
      <w:r w:rsidR="00F67CEF" w:rsidRPr="00B848CD">
        <w:rPr>
          <w:rFonts w:ascii="Arial" w:hAnsi="Arial" w:cs="Arial"/>
        </w:rPr>
        <w:t xml:space="preserve"> a Liaison Team</w:t>
      </w:r>
      <w:r w:rsidR="00926E2C" w:rsidRPr="00B848CD">
        <w:rPr>
          <w:rFonts w:ascii="Arial" w:hAnsi="Arial" w:cs="Arial"/>
        </w:rPr>
        <w:t xml:space="preserve"> working in care homes </w:t>
      </w:r>
      <w:r w:rsidR="00F67CEF" w:rsidRPr="00B848CD">
        <w:rPr>
          <w:rFonts w:ascii="Arial" w:hAnsi="Arial" w:cs="Arial"/>
        </w:rPr>
        <w:t>in East Lancashire</w:t>
      </w:r>
      <w:r w:rsidR="00926E2C" w:rsidRPr="00B848CD">
        <w:rPr>
          <w:rFonts w:ascii="Arial" w:hAnsi="Arial" w:cs="Arial"/>
        </w:rPr>
        <w:t xml:space="preserve"> to inform and improve the assessment and care of people with dementia. The Trust has recently secured additional funding to roll-out this service acros</w:t>
      </w:r>
      <w:r w:rsidR="00093F52" w:rsidRPr="00B848CD">
        <w:rPr>
          <w:rFonts w:ascii="Arial" w:hAnsi="Arial" w:cs="Arial"/>
        </w:rPr>
        <w:t xml:space="preserve">s the county by early 2013. </w:t>
      </w:r>
    </w:p>
    <w:p w:rsidR="004A74D3" w:rsidRPr="00B848CD" w:rsidRDefault="004A74D3" w:rsidP="007469EF">
      <w:pPr>
        <w:rPr>
          <w:rFonts w:ascii="Arial" w:hAnsi="Arial" w:cs="Arial"/>
        </w:rPr>
      </w:pPr>
    </w:p>
    <w:p w:rsidR="00994286" w:rsidRPr="00B848CD" w:rsidRDefault="00994286" w:rsidP="007469EF">
      <w:pPr>
        <w:rPr>
          <w:rFonts w:ascii="Arial" w:hAnsi="Arial" w:cs="Arial"/>
        </w:rPr>
      </w:pPr>
      <w:r w:rsidRPr="00B848CD">
        <w:rPr>
          <w:rFonts w:ascii="Arial" w:hAnsi="Arial" w:cs="Arial"/>
        </w:rPr>
        <w:t>It is anticipated that the</w:t>
      </w:r>
      <w:r w:rsidR="00EC5846" w:rsidRPr="00B848CD">
        <w:rPr>
          <w:rFonts w:ascii="Arial" w:hAnsi="Arial" w:cs="Arial"/>
        </w:rPr>
        <w:t xml:space="preserve"> re-developed</w:t>
      </w:r>
      <w:r w:rsidRPr="00B848CD">
        <w:rPr>
          <w:rFonts w:ascii="Arial" w:hAnsi="Arial" w:cs="Arial"/>
        </w:rPr>
        <w:t xml:space="preserve"> Oaklands Unit will become operational in </w:t>
      </w:r>
      <w:r w:rsidR="00833439" w:rsidRPr="00B848CD">
        <w:rPr>
          <w:rFonts w:ascii="Arial" w:hAnsi="Arial" w:cs="Arial"/>
        </w:rPr>
        <w:t>autumn</w:t>
      </w:r>
      <w:r w:rsidRPr="00B848CD">
        <w:rPr>
          <w:rFonts w:ascii="Arial" w:hAnsi="Arial" w:cs="Arial"/>
        </w:rPr>
        <w:t xml:space="preserve"> 2013 and this will provide 18 </w:t>
      </w:r>
      <w:r w:rsidR="00BC7989" w:rsidRPr="00B848CD">
        <w:rPr>
          <w:rFonts w:ascii="Arial" w:hAnsi="Arial" w:cs="Arial"/>
        </w:rPr>
        <w:t>b</w:t>
      </w:r>
      <w:r w:rsidRPr="00B848CD">
        <w:rPr>
          <w:rFonts w:ascii="Arial" w:hAnsi="Arial" w:cs="Arial"/>
        </w:rPr>
        <w:t>eds</w:t>
      </w:r>
      <w:r w:rsidR="00BC7989" w:rsidRPr="00B848CD">
        <w:rPr>
          <w:rFonts w:ascii="Arial" w:hAnsi="Arial" w:cs="Arial"/>
        </w:rPr>
        <w:t xml:space="preserve"> for adults aged 18 and over with a functional mental health </w:t>
      </w:r>
      <w:r w:rsidR="00976D5E" w:rsidRPr="00B848CD">
        <w:rPr>
          <w:rFonts w:ascii="Arial" w:hAnsi="Arial" w:cs="Arial"/>
        </w:rPr>
        <w:t xml:space="preserve">need </w:t>
      </w:r>
      <w:r w:rsidR="00BC7989" w:rsidRPr="00B848CD">
        <w:rPr>
          <w:rFonts w:ascii="Arial" w:hAnsi="Arial" w:cs="Arial"/>
        </w:rPr>
        <w:t xml:space="preserve">in North Lancashire. At this point Ridge Lea Hospital will close. </w:t>
      </w:r>
      <w:r w:rsidRPr="00B848CD">
        <w:rPr>
          <w:rFonts w:ascii="Arial" w:hAnsi="Arial" w:cs="Arial"/>
        </w:rPr>
        <w:t xml:space="preserve"> </w:t>
      </w:r>
    </w:p>
    <w:p w:rsidR="00911EB5" w:rsidRPr="00B848CD" w:rsidRDefault="00911EB5" w:rsidP="007469EF">
      <w:pPr>
        <w:rPr>
          <w:rFonts w:ascii="Arial" w:hAnsi="Arial" w:cs="Arial"/>
        </w:rPr>
      </w:pPr>
    </w:p>
    <w:p w:rsidR="009C5054" w:rsidRPr="00B848CD" w:rsidRDefault="00F32550" w:rsidP="007469EF">
      <w:pPr>
        <w:rPr>
          <w:rFonts w:ascii="Arial" w:hAnsi="Arial" w:cs="Arial"/>
          <w:b/>
        </w:rPr>
      </w:pPr>
      <w:r w:rsidRPr="00B848CD">
        <w:rPr>
          <w:rFonts w:ascii="Arial" w:hAnsi="Arial" w:cs="Arial"/>
          <w:b/>
        </w:rPr>
        <w:t>Development of Mental Health Services in East Lancashire</w:t>
      </w:r>
      <w:r w:rsidR="00911EB5" w:rsidRPr="00B848CD">
        <w:rPr>
          <w:rFonts w:ascii="Arial" w:hAnsi="Arial" w:cs="Arial"/>
          <w:b/>
        </w:rPr>
        <w:t xml:space="preserve"> – Closure of Ward</w:t>
      </w:r>
      <w:r w:rsidR="009C5054" w:rsidRPr="00B848CD">
        <w:rPr>
          <w:rFonts w:ascii="Arial" w:hAnsi="Arial" w:cs="Arial"/>
          <w:b/>
        </w:rPr>
        <w:t xml:space="preserve"> 18 </w:t>
      </w:r>
    </w:p>
    <w:p w:rsidR="009C5054" w:rsidRPr="00B848CD" w:rsidRDefault="009C5054" w:rsidP="007469EF">
      <w:pPr>
        <w:rPr>
          <w:rFonts w:ascii="Arial" w:hAnsi="Arial" w:cs="Arial"/>
        </w:rPr>
      </w:pPr>
    </w:p>
    <w:p w:rsidR="005C6970" w:rsidRPr="00B848CD" w:rsidRDefault="00911EB5" w:rsidP="00511266">
      <w:pPr>
        <w:jc w:val="both"/>
        <w:rPr>
          <w:rFonts w:ascii="Arial" w:eastAsia="Times New Roman" w:hAnsi="Arial" w:cs="Arial"/>
        </w:rPr>
      </w:pPr>
      <w:r w:rsidRPr="00B848CD">
        <w:rPr>
          <w:rFonts w:ascii="Arial" w:eastAsia="Times New Roman" w:hAnsi="Arial" w:cs="Arial"/>
        </w:rPr>
        <w:t>W</w:t>
      </w:r>
      <w:r w:rsidR="00511266" w:rsidRPr="00B848CD">
        <w:rPr>
          <w:rFonts w:ascii="Arial" w:eastAsia="Times New Roman" w:hAnsi="Arial" w:cs="Arial"/>
        </w:rPr>
        <w:t>ard 18</w:t>
      </w:r>
      <w:r w:rsidRPr="00B848CD">
        <w:rPr>
          <w:rFonts w:ascii="Arial" w:eastAsia="Times New Roman" w:hAnsi="Arial" w:cs="Arial"/>
        </w:rPr>
        <w:t xml:space="preserve"> in Burnley provides </w:t>
      </w:r>
      <w:r w:rsidR="004A74D3" w:rsidRPr="00B848CD">
        <w:rPr>
          <w:rFonts w:ascii="Arial" w:eastAsia="Times New Roman" w:hAnsi="Arial" w:cs="Arial"/>
        </w:rPr>
        <w:t xml:space="preserve">21 </w:t>
      </w:r>
      <w:r w:rsidR="00511266" w:rsidRPr="00B848CD">
        <w:rPr>
          <w:rFonts w:ascii="Arial" w:eastAsia="Times New Roman" w:hAnsi="Arial" w:cs="Arial"/>
        </w:rPr>
        <w:t>beds</w:t>
      </w:r>
      <w:r w:rsidR="002E57F6" w:rsidRPr="00B848CD">
        <w:rPr>
          <w:rFonts w:ascii="Arial" w:eastAsia="Times New Roman" w:hAnsi="Arial" w:cs="Arial"/>
        </w:rPr>
        <w:t xml:space="preserve"> for males with a functional mental health problem</w:t>
      </w:r>
      <w:r w:rsidRPr="00B848CD">
        <w:rPr>
          <w:rFonts w:ascii="Arial" w:eastAsia="Times New Roman" w:hAnsi="Arial" w:cs="Arial"/>
        </w:rPr>
        <w:t xml:space="preserve">. </w:t>
      </w:r>
      <w:r w:rsidR="00511266" w:rsidRPr="00B848CD">
        <w:rPr>
          <w:rFonts w:ascii="Arial" w:eastAsia="Times New Roman" w:hAnsi="Arial" w:cs="Arial"/>
        </w:rPr>
        <w:t xml:space="preserve"> </w:t>
      </w:r>
      <w:r w:rsidR="00875678" w:rsidRPr="00B848CD">
        <w:rPr>
          <w:rFonts w:ascii="Arial" w:eastAsia="Times New Roman" w:hAnsi="Arial" w:cs="Arial"/>
        </w:rPr>
        <w:t xml:space="preserve">In order to achieve the closure by 31 March 2013 it is proposed that from November 2012, two beds per week are closed so that the bed reduction can be achieved over a 20 week period. </w:t>
      </w:r>
    </w:p>
    <w:p w:rsidR="005C6970" w:rsidRPr="00B848CD" w:rsidRDefault="005C6970" w:rsidP="00511266">
      <w:pPr>
        <w:jc w:val="both"/>
        <w:rPr>
          <w:rFonts w:ascii="Arial" w:eastAsia="Times New Roman" w:hAnsi="Arial" w:cs="Arial"/>
        </w:rPr>
      </w:pPr>
    </w:p>
    <w:p w:rsidR="005C6970" w:rsidRPr="00B848CD" w:rsidRDefault="00334EFF" w:rsidP="00907B2B">
      <w:pPr>
        <w:jc w:val="both"/>
        <w:rPr>
          <w:rFonts w:ascii="Arial" w:eastAsia="Times New Roman" w:hAnsi="Arial" w:cs="Arial"/>
        </w:rPr>
      </w:pPr>
      <w:r w:rsidRPr="00B848CD">
        <w:rPr>
          <w:rFonts w:ascii="Arial" w:eastAsia="Times New Roman" w:hAnsi="Arial" w:cs="Arial"/>
        </w:rPr>
        <w:t>Ward</w:t>
      </w:r>
      <w:r w:rsidR="006C1B50" w:rsidRPr="00B848CD">
        <w:rPr>
          <w:rFonts w:ascii="Arial" w:eastAsia="Times New Roman" w:hAnsi="Arial" w:cs="Arial"/>
        </w:rPr>
        <w:t>s 20,</w:t>
      </w:r>
      <w:r w:rsidRPr="00B848CD">
        <w:rPr>
          <w:rFonts w:ascii="Arial" w:eastAsia="Times New Roman" w:hAnsi="Arial" w:cs="Arial"/>
        </w:rPr>
        <w:t xml:space="preserve"> 22</w:t>
      </w:r>
      <w:r w:rsidR="006C1B50" w:rsidRPr="00B848CD">
        <w:rPr>
          <w:rFonts w:ascii="Arial" w:eastAsia="Times New Roman" w:hAnsi="Arial" w:cs="Arial"/>
        </w:rPr>
        <w:t xml:space="preserve"> and the Psychiatric Intensive Care Unit at Burnley General </w:t>
      </w:r>
      <w:r w:rsidR="002E57F6" w:rsidRPr="00B848CD">
        <w:rPr>
          <w:rFonts w:ascii="Arial" w:eastAsia="Times New Roman" w:hAnsi="Arial" w:cs="Arial"/>
        </w:rPr>
        <w:t xml:space="preserve">Hospital </w:t>
      </w:r>
      <w:r w:rsidR="006C1B50" w:rsidRPr="00B848CD">
        <w:rPr>
          <w:rFonts w:ascii="Arial" w:eastAsia="Times New Roman" w:hAnsi="Arial" w:cs="Arial"/>
        </w:rPr>
        <w:t>will remain operation</w:t>
      </w:r>
      <w:r w:rsidR="002E57F6" w:rsidRPr="00B848CD">
        <w:rPr>
          <w:rFonts w:ascii="Arial" w:eastAsia="Times New Roman" w:hAnsi="Arial" w:cs="Arial"/>
        </w:rPr>
        <w:t>al</w:t>
      </w:r>
      <w:r w:rsidR="00EC5846" w:rsidRPr="00B848CD">
        <w:rPr>
          <w:rFonts w:ascii="Arial" w:eastAsia="Times New Roman" w:hAnsi="Arial" w:cs="Arial"/>
        </w:rPr>
        <w:t xml:space="preserve">. Mental health wards </w:t>
      </w:r>
      <w:r w:rsidR="000C0A4A" w:rsidRPr="00B848CD">
        <w:rPr>
          <w:rFonts w:ascii="Arial" w:eastAsia="Times New Roman" w:hAnsi="Arial" w:cs="Arial"/>
        </w:rPr>
        <w:t xml:space="preserve">at Royal Blackburn Hospital </w:t>
      </w:r>
      <w:r w:rsidR="006C1B50" w:rsidRPr="00B848CD">
        <w:rPr>
          <w:rFonts w:ascii="Arial" w:eastAsia="Times New Roman" w:hAnsi="Arial" w:cs="Arial"/>
        </w:rPr>
        <w:t xml:space="preserve">also </w:t>
      </w:r>
      <w:r w:rsidR="00EC5846" w:rsidRPr="00B848CD">
        <w:rPr>
          <w:rFonts w:ascii="Arial" w:eastAsia="Times New Roman" w:hAnsi="Arial" w:cs="Arial"/>
        </w:rPr>
        <w:t xml:space="preserve">remain open </w:t>
      </w:r>
      <w:r w:rsidR="000C0A4A" w:rsidRPr="00B848CD">
        <w:rPr>
          <w:rFonts w:ascii="Arial" w:eastAsia="Times New Roman" w:hAnsi="Arial" w:cs="Arial"/>
        </w:rPr>
        <w:t>as an inpatient service for East Lancashire</w:t>
      </w:r>
      <w:r w:rsidR="00EC5846" w:rsidRPr="00B848CD">
        <w:rPr>
          <w:rFonts w:ascii="Arial" w:eastAsia="Times New Roman" w:hAnsi="Arial" w:cs="Arial"/>
        </w:rPr>
        <w:t xml:space="preserve">. </w:t>
      </w:r>
    </w:p>
    <w:p w:rsidR="00976D5E" w:rsidRPr="00B848CD" w:rsidRDefault="00976D5E" w:rsidP="00907B2B">
      <w:pPr>
        <w:jc w:val="both"/>
        <w:rPr>
          <w:rFonts w:ascii="Arial" w:eastAsia="Times New Roman" w:hAnsi="Arial" w:cs="Arial"/>
        </w:rPr>
      </w:pPr>
    </w:p>
    <w:p w:rsidR="009C5054" w:rsidRPr="00B848CD" w:rsidRDefault="00F32550" w:rsidP="007469EF">
      <w:pPr>
        <w:rPr>
          <w:rFonts w:ascii="Arial" w:hAnsi="Arial" w:cs="Arial"/>
          <w:b/>
        </w:rPr>
      </w:pPr>
      <w:r w:rsidRPr="00B848CD">
        <w:rPr>
          <w:rFonts w:ascii="Arial" w:hAnsi="Arial" w:cs="Arial"/>
          <w:b/>
        </w:rPr>
        <w:t xml:space="preserve">Development of Mental Health Services in East Lancashire </w:t>
      </w:r>
      <w:r w:rsidR="00911EB5" w:rsidRPr="00B848CD">
        <w:rPr>
          <w:rFonts w:ascii="Arial" w:hAnsi="Arial" w:cs="Arial"/>
          <w:b/>
        </w:rPr>
        <w:t xml:space="preserve">– closure of </w:t>
      </w:r>
      <w:r w:rsidR="009C5054" w:rsidRPr="00B848CD">
        <w:rPr>
          <w:rFonts w:ascii="Arial" w:hAnsi="Arial" w:cs="Arial"/>
          <w:b/>
        </w:rPr>
        <w:t xml:space="preserve">Ward 19 Burnley General Hospital </w:t>
      </w:r>
    </w:p>
    <w:p w:rsidR="009C5054" w:rsidRPr="00B848CD" w:rsidRDefault="009C5054" w:rsidP="007469EF">
      <w:pPr>
        <w:rPr>
          <w:rFonts w:ascii="Arial" w:hAnsi="Arial" w:cs="Arial"/>
        </w:rPr>
      </w:pPr>
    </w:p>
    <w:p w:rsidR="00C35CD7" w:rsidRPr="00B848CD" w:rsidRDefault="00C35CD7" w:rsidP="00C35CD7">
      <w:pPr>
        <w:rPr>
          <w:rFonts w:ascii="Arial" w:hAnsi="Arial" w:cs="Arial"/>
        </w:rPr>
      </w:pPr>
      <w:r w:rsidRPr="00B848CD">
        <w:rPr>
          <w:rFonts w:ascii="Arial" w:hAnsi="Arial" w:cs="Arial"/>
        </w:rPr>
        <w:t>Ward 19</w:t>
      </w:r>
      <w:r w:rsidR="00D67BB3" w:rsidRPr="00B848CD">
        <w:rPr>
          <w:rFonts w:ascii="Arial" w:hAnsi="Arial" w:cs="Arial"/>
        </w:rPr>
        <w:t xml:space="preserve"> at Burnley General Hospital</w:t>
      </w:r>
      <w:r w:rsidRPr="00B848CD">
        <w:rPr>
          <w:rFonts w:ascii="Arial" w:hAnsi="Arial" w:cs="Arial"/>
        </w:rPr>
        <w:t xml:space="preserve"> is </w:t>
      </w:r>
      <w:r w:rsidR="00994286" w:rsidRPr="00B848CD">
        <w:rPr>
          <w:rFonts w:ascii="Arial" w:hAnsi="Arial" w:cs="Arial"/>
        </w:rPr>
        <w:t xml:space="preserve">a 15 bed dementia </w:t>
      </w:r>
      <w:r w:rsidRPr="00B848CD">
        <w:rPr>
          <w:rFonts w:ascii="Arial" w:hAnsi="Arial" w:cs="Arial"/>
        </w:rPr>
        <w:t xml:space="preserve">ward that provides a short term assessment function and support for people with challenging behaviour associated with their </w:t>
      </w:r>
      <w:r w:rsidR="00E55DBE" w:rsidRPr="00B848CD">
        <w:rPr>
          <w:rFonts w:ascii="Arial" w:hAnsi="Arial" w:cs="Arial"/>
        </w:rPr>
        <w:t>dementia.</w:t>
      </w:r>
      <w:r w:rsidRPr="00B848CD">
        <w:rPr>
          <w:rFonts w:ascii="Arial" w:hAnsi="Arial" w:cs="Arial"/>
        </w:rPr>
        <w:t xml:space="preserve"> </w:t>
      </w:r>
    </w:p>
    <w:p w:rsidR="00B03B8E" w:rsidRDefault="00B03B8E" w:rsidP="00C35CD7">
      <w:pPr>
        <w:rPr>
          <w:rFonts w:ascii="Arial" w:hAnsi="Arial" w:cs="Arial"/>
        </w:rPr>
      </w:pPr>
    </w:p>
    <w:p w:rsidR="00B848CD" w:rsidRPr="00B848CD" w:rsidRDefault="00B848CD" w:rsidP="00C35CD7">
      <w:pPr>
        <w:rPr>
          <w:rFonts w:ascii="Arial" w:hAnsi="Arial" w:cs="Arial"/>
        </w:rPr>
      </w:pPr>
    </w:p>
    <w:p w:rsidR="00B03B8E" w:rsidRPr="00B848CD" w:rsidRDefault="00C35CD7" w:rsidP="007469EF">
      <w:pPr>
        <w:rPr>
          <w:rFonts w:ascii="Arial" w:hAnsi="Arial" w:cs="Arial"/>
        </w:rPr>
      </w:pPr>
      <w:r w:rsidRPr="00B848CD">
        <w:rPr>
          <w:rFonts w:ascii="Arial" w:hAnsi="Arial" w:cs="Arial"/>
        </w:rPr>
        <w:lastRenderedPageBreak/>
        <w:t xml:space="preserve">In line with best practice and national guidance there has been considerable investment </w:t>
      </w:r>
      <w:r w:rsidR="00B03B8E" w:rsidRPr="00B848CD">
        <w:rPr>
          <w:rFonts w:ascii="Arial" w:hAnsi="Arial" w:cs="Arial"/>
        </w:rPr>
        <w:t>into providing community service</w:t>
      </w:r>
      <w:r w:rsidR="00C467B2" w:rsidRPr="00B848CD">
        <w:rPr>
          <w:rFonts w:ascii="Arial" w:hAnsi="Arial" w:cs="Arial"/>
        </w:rPr>
        <w:t>s</w:t>
      </w:r>
      <w:r w:rsidR="00B03B8E" w:rsidRPr="00B848CD">
        <w:rPr>
          <w:rFonts w:ascii="Arial" w:hAnsi="Arial" w:cs="Arial"/>
        </w:rPr>
        <w:t xml:space="preserve"> for people with dementia</w:t>
      </w:r>
      <w:r w:rsidR="00976D5E" w:rsidRPr="00B848CD">
        <w:rPr>
          <w:rFonts w:ascii="Arial" w:hAnsi="Arial" w:cs="Arial"/>
        </w:rPr>
        <w:t>. This is to</w:t>
      </w:r>
      <w:r w:rsidR="00B03B8E" w:rsidRPr="00B848CD">
        <w:rPr>
          <w:rFonts w:ascii="Arial" w:hAnsi="Arial" w:cs="Arial"/>
        </w:rPr>
        <w:t xml:space="preserve"> </w:t>
      </w:r>
      <w:r w:rsidR="00976D5E" w:rsidRPr="00B848CD">
        <w:rPr>
          <w:rFonts w:ascii="Arial" w:hAnsi="Arial" w:cs="Arial"/>
        </w:rPr>
        <w:t>enable people</w:t>
      </w:r>
      <w:r w:rsidR="00B03B8E" w:rsidRPr="00B848CD">
        <w:rPr>
          <w:rFonts w:ascii="Arial" w:hAnsi="Arial" w:cs="Arial"/>
        </w:rPr>
        <w:t xml:space="preserve"> to be cared for in their own home or usual place of residence such as nursing homes. The following community teams are available in East Lancashire to support people with dementia: </w:t>
      </w:r>
    </w:p>
    <w:p w:rsidR="00B03B8E" w:rsidRPr="00B848CD" w:rsidRDefault="00B03B8E" w:rsidP="007469EF">
      <w:pPr>
        <w:rPr>
          <w:rFonts w:ascii="Arial" w:hAnsi="Arial" w:cs="Arial"/>
        </w:rPr>
      </w:pPr>
    </w:p>
    <w:p w:rsidR="00B03B8E" w:rsidRPr="00B848CD" w:rsidRDefault="00B03B8E" w:rsidP="00B03B8E">
      <w:pPr>
        <w:pStyle w:val="ListParagraph"/>
        <w:numPr>
          <w:ilvl w:val="0"/>
          <w:numId w:val="13"/>
        </w:numPr>
        <w:rPr>
          <w:rFonts w:ascii="Arial" w:hAnsi="Arial" w:cs="Arial"/>
        </w:rPr>
      </w:pPr>
      <w:r w:rsidRPr="00B848CD">
        <w:rPr>
          <w:rFonts w:ascii="Arial" w:hAnsi="Arial" w:cs="Arial"/>
        </w:rPr>
        <w:t xml:space="preserve">Memory Assessment Services </w:t>
      </w:r>
    </w:p>
    <w:p w:rsidR="00B03B8E" w:rsidRPr="00B848CD" w:rsidRDefault="00B03B8E" w:rsidP="00B03B8E">
      <w:pPr>
        <w:pStyle w:val="ListParagraph"/>
        <w:numPr>
          <w:ilvl w:val="0"/>
          <w:numId w:val="13"/>
        </w:numPr>
        <w:rPr>
          <w:rFonts w:ascii="Arial" w:hAnsi="Arial" w:cs="Arial"/>
        </w:rPr>
      </w:pPr>
      <w:r w:rsidRPr="00B848CD">
        <w:rPr>
          <w:rFonts w:ascii="Arial" w:hAnsi="Arial" w:cs="Arial"/>
        </w:rPr>
        <w:t xml:space="preserve">Community Mental Health Teams </w:t>
      </w:r>
    </w:p>
    <w:p w:rsidR="00B03B8E" w:rsidRPr="00B848CD" w:rsidRDefault="00B03B8E" w:rsidP="00B03B8E">
      <w:pPr>
        <w:pStyle w:val="ListParagraph"/>
        <w:numPr>
          <w:ilvl w:val="0"/>
          <w:numId w:val="13"/>
        </w:numPr>
        <w:rPr>
          <w:rFonts w:ascii="Arial" w:hAnsi="Arial" w:cs="Arial"/>
        </w:rPr>
      </w:pPr>
      <w:r w:rsidRPr="00B848CD">
        <w:rPr>
          <w:rFonts w:ascii="Arial" w:hAnsi="Arial" w:cs="Arial"/>
        </w:rPr>
        <w:t xml:space="preserve">Intermediate Support Team </w:t>
      </w:r>
    </w:p>
    <w:p w:rsidR="00B03B8E" w:rsidRPr="00B848CD" w:rsidRDefault="00B03B8E" w:rsidP="00B03B8E">
      <w:pPr>
        <w:pStyle w:val="ListParagraph"/>
        <w:numPr>
          <w:ilvl w:val="0"/>
          <w:numId w:val="13"/>
        </w:numPr>
        <w:rPr>
          <w:rFonts w:ascii="Arial" w:hAnsi="Arial" w:cs="Arial"/>
        </w:rPr>
      </w:pPr>
      <w:r w:rsidRPr="00B848CD">
        <w:rPr>
          <w:rFonts w:ascii="Arial" w:hAnsi="Arial" w:cs="Arial"/>
        </w:rPr>
        <w:t xml:space="preserve">Hospital and Nursing Home Liaison </w:t>
      </w:r>
    </w:p>
    <w:p w:rsidR="00B03B8E" w:rsidRPr="00B848CD" w:rsidRDefault="00B03B8E" w:rsidP="00B03B8E">
      <w:pPr>
        <w:pStyle w:val="ListParagraph"/>
        <w:numPr>
          <w:ilvl w:val="0"/>
          <w:numId w:val="13"/>
        </w:numPr>
        <w:rPr>
          <w:rFonts w:ascii="Arial" w:hAnsi="Arial" w:cs="Arial"/>
        </w:rPr>
      </w:pPr>
      <w:r w:rsidRPr="00B848CD">
        <w:rPr>
          <w:rFonts w:ascii="Arial" w:hAnsi="Arial" w:cs="Arial"/>
        </w:rPr>
        <w:t xml:space="preserve">Dementia Advisors </w:t>
      </w:r>
      <w:r w:rsidR="00D410AF" w:rsidRPr="00B848CD">
        <w:rPr>
          <w:rFonts w:ascii="Arial" w:hAnsi="Arial" w:cs="Arial"/>
        </w:rPr>
        <w:t xml:space="preserve">(a named contact that provides people with dementia and their carers with support and advice) </w:t>
      </w:r>
    </w:p>
    <w:p w:rsidR="00D410AF" w:rsidRPr="00B848CD" w:rsidRDefault="00D410AF" w:rsidP="00E84323">
      <w:pPr>
        <w:pStyle w:val="ListParagraph"/>
        <w:numPr>
          <w:ilvl w:val="0"/>
          <w:numId w:val="13"/>
        </w:numPr>
        <w:rPr>
          <w:rFonts w:ascii="Arial" w:hAnsi="Arial" w:cs="Arial"/>
        </w:rPr>
      </w:pPr>
      <w:r w:rsidRPr="00B848CD">
        <w:rPr>
          <w:rFonts w:ascii="Arial" w:hAnsi="Arial" w:cs="Arial"/>
        </w:rPr>
        <w:t>Dementia Cafes (</w:t>
      </w:r>
      <w:r w:rsidR="00E84323" w:rsidRPr="00B848CD">
        <w:rPr>
          <w:rFonts w:ascii="Arial" w:hAnsi="Arial" w:cs="Arial"/>
        </w:rPr>
        <w:t xml:space="preserve">run in partnership with the Alzheimer’s Society to enable people with dementia, their family members or carers to meet with care-giving professionals and volunteers. The aim of the cafes is to show people that there is life after dementia. They aim to provide information, social contacts and emotional support.) </w:t>
      </w:r>
    </w:p>
    <w:p w:rsidR="00061636" w:rsidRPr="00B848CD" w:rsidRDefault="00061636" w:rsidP="00061636">
      <w:pPr>
        <w:rPr>
          <w:rFonts w:ascii="Arial" w:hAnsi="Arial" w:cs="Arial"/>
        </w:rPr>
      </w:pPr>
    </w:p>
    <w:p w:rsidR="00061636" w:rsidRPr="00B848CD" w:rsidRDefault="00061636" w:rsidP="00061636">
      <w:pPr>
        <w:rPr>
          <w:rFonts w:ascii="Arial" w:hAnsi="Arial" w:cs="Arial"/>
        </w:rPr>
      </w:pPr>
      <w:r w:rsidRPr="00B848CD">
        <w:rPr>
          <w:rFonts w:ascii="Arial" w:hAnsi="Arial" w:cs="Arial"/>
        </w:rPr>
        <w:t>The development of these community teams over the last three years has led to a reduction in the number of people being admitted to mental health wards. The number of dementia beds has reduced from 122 beds in 2007 to 88 beds in 2011 and the average length of stay has reduced from 100 days to 48 days, with a continued downward trend.  There has been an increase in referrals to dementia services which ha</w:t>
      </w:r>
      <w:r w:rsidR="00D32355" w:rsidRPr="00B848CD">
        <w:rPr>
          <w:rFonts w:ascii="Arial" w:hAnsi="Arial" w:cs="Arial"/>
        </w:rPr>
        <w:t>s been managed in</w:t>
      </w:r>
      <w:r w:rsidRPr="00B848CD">
        <w:rPr>
          <w:rFonts w:ascii="Arial" w:hAnsi="Arial" w:cs="Arial"/>
        </w:rPr>
        <w:t xml:space="preserve"> community setting</w:t>
      </w:r>
      <w:r w:rsidR="00D32355" w:rsidRPr="00B848CD">
        <w:rPr>
          <w:rFonts w:ascii="Arial" w:hAnsi="Arial" w:cs="Arial"/>
        </w:rPr>
        <w:t>s</w:t>
      </w:r>
      <w:r w:rsidRPr="00B848CD">
        <w:rPr>
          <w:rFonts w:ascii="Arial" w:hAnsi="Arial" w:cs="Arial"/>
        </w:rPr>
        <w:t xml:space="preserve">. </w:t>
      </w:r>
      <w:r w:rsidR="00E55DBE" w:rsidRPr="00B848CD">
        <w:rPr>
          <w:rFonts w:ascii="Arial" w:hAnsi="Arial" w:cs="Arial"/>
        </w:rPr>
        <w:t>O</w:t>
      </w:r>
      <w:r w:rsidRPr="00B848CD">
        <w:rPr>
          <w:rFonts w:ascii="Arial" w:hAnsi="Arial" w:cs="Arial"/>
        </w:rPr>
        <w:t xml:space="preserve">ver 97% of activity in relation to dementia is taking place outside a hospital environment. </w:t>
      </w:r>
    </w:p>
    <w:p w:rsidR="00061636" w:rsidRPr="00B848CD" w:rsidRDefault="00061636" w:rsidP="00061636">
      <w:pPr>
        <w:rPr>
          <w:rFonts w:ascii="Arial" w:hAnsi="Arial" w:cs="Arial"/>
        </w:rPr>
      </w:pPr>
    </w:p>
    <w:p w:rsidR="00994286" w:rsidRPr="00B848CD" w:rsidRDefault="00016A96" w:rsidP="007469EF">
      <w:pPr>
        <w:rPr>
          <w:rFonts w:ascii="Arial" w:hAnsi="Arial" w:cs="Arial"/>
        </w:rPr>
      </w:pPr>
      <w:r w:rsidRPr="00B848CD">
        <w:rPr>
          <w:rFonts w:ascii="Arial" w:hAnsi="Arial" w:cs="Arial"/>
        </w:rPr>
        <w:t>It</w:t>
      </w:r>
      <w:r w:rsidR="00061636" w:rsidRPr="00B848CD">
        <w:rPr>
          <w:rFonts w:ascii="Arial" w:hAnsi="Arial" w:cs="Arial"/>
        </w:rPr>
        <w:t xml:space="preserve"> is proposed that there is sufficient capacity within community services to close ward 19 whilst maintaining a high level of care for people with dementia. The further development of community </w:t>
      </w:r>
      <w:r w:rsidR="00093F52" w:rsidRPr="00B848CD">
        <w:rPr>
          <w:rFonts w:ascii="Arial" w:hAnsi="Arial" w:cs="Arial"/>
        </w:rPr>
        <w:t xml:space="preserve">dementia </w:t>
      </w:r>
      <w:r w:rsidR="00061636" w:rsidRPr="00B848CD">
        <w:rPr>
          <w:rFonts w:ascii="Arial" w:hAnsi="Arial" w:cs="Arial"/>
        </w:rPr>
        <w:t xml:space="preserve">services </w:t>
      </w:r>
      <w:r w:rsidR="00093F52" w:rsidRPr="00B848CD">
        <w:rPr>
          <w:rFonts w:ascii="Arial" w:hAnsi="Arial" w:cs="Arial"/>
        </w:rPr>
        <w:t xml:space="preserve">across Lancashire </w:t>
      </w:r>
      <w:r w:rsidR="00061636" w:rsidRPr="00B848CD">
        <w:rPr>
          <w:rFonts w:ascii="Arial" w:hAnsi="Arial" w:cs="Arial"/>
        </w:rPr>
        <w:t>continues</w:t>
      </w:r>
      <w:r w:rsidR="00093F52" w:rsidRPr="00B848CD">
        <w:rPr>
          <w:rFonts w:ascii="Arial" w:hAnsi="Arial" w:cs="Arial"/>
        </w:rPr>
        <w:t xml:space="preserve"> and is subject to public consultation commencing in December 2012</w:t>
      </w:r>
      <w:r w:rsidR="00061636" w:rsidRPr="00B848CD">
        <w:rPr>
          <w:rFonts w:ascii="Arial" w:hAnsi="Arial" w:cs="Arial"/>
        </w:rPr>
        <w:t xml:space="preserve">. </w:t>
      </w:r>
    </w:p>
    <w:p w:rsidR="0026318A" w:rsidRPr="00B848CD" w:rsidRDefault="0026318A" w:rsidP="007469EF">
      <w:pPr>
        <w:rPr>
          <w:rFonts w:ascii="Arial" w:hAnsi="Arial" w:cs="Arial"/>
        </w:rPr>
      </w:pPr>
    </w:p>
    <w:p w:rsidR="00826630" w:rsidRPr="00B848CD" w:rsidRDefault="00D32355" w:rsidP="007469EF">
      <w:pPr>
        <w:rPr>
          <w:rFonts w:ascii="Arial" w:hAnsi="Arial" w:cs="Arial"/>
        </w:rPr>
      </w:pPr>
      <w:r w:rsidRPr="00B848CD">
        <w:rPr>
          <w:rFonts w:ascii="Arial" w:hAnsi="Arial" w:cs="Arial"/>
        </w:rPr>
        <w:t>Once W</w:t>
      </w:r>
      <w:r w:rsidR="00D951FB" w:rsidRPr="00B848CD">
        <w:rPr>
          <w:rFonts w:ascii="Arial" w:hAnsi="Arial" w:cs="Arial"/>
        </w:rPr>
        <w:t>ard 19 in Burnley closes</w:t>
      </w:r>
      <w:r w:rsidR="009F70BC" w:rsidRPr="00B848CD">
        <w:rPr>
          <w:rFonts w:ascii="Arial" w:hAnsi="Arial" w:cs="Arial"/>
        </w:rPr>
        <w:t xml:space="preserve"> in March 2013</w:t>
      </w:r>
      <w:r w:rsidR="00D951FB" w:rsidRPr="00B848CD">
        <w:rPr>
          <w:rFonts w:ascii="Arial" w:hAnsi="Arial" w:cs="Arial"/>
        </w:rPr>
        <w:t xml:space="preserve">, </w:t>
      </w:r>
      <w:r w:rsidR="008662F0" w:rsidRPr="00B848CD">
        <w:rPr>
          <w:rFonts w:ascii="Arial" w:hAnsi="Arial" w:cs="Arial"/>
        </w:rPr>
        <w:t>spec</w:t>
      </w:r>
      <w:r w:rsidR="00F67CEF" w:rsidRPr="00B848CD">
        <w:rPr>
          <w:rFonts w:ascii="Arial" w:hAnsi="Arial" w:cs="Arial"/>
        </w:rPr>
        <w:t xml:space="preserve">ialist dementia beds for the </w:t>
      </w:r>
      <w:r w:rsidR="008662F0" w:rsidRPr="00B848CD">
        <w:rPr>
          <w:rFonts w:ascii="Arial" w:hAnsi="Arial" w:cs="Arial"/>
        </w:rPr>
        <w:t xml:space="preserve">few people assessed as </w:t>
      </w:r>
      <w:r w:rsidR="0026318A" w:rsidRPr="00B848CD">
        <w:rPr>
          <w:rFonts w:ascii="Arial" w:hAnsi="Arial" w:cs="Arial"/>
        </w:rPr>
        <w:t>needing</w:t>
      </w:r>
      <w:r w:rsidR="008662F0" w:rsidRPr="00B848CD">
        <w:rPr>
          <w:rFonts w:ascii="Arial" w:hAnsi="Arial" w:cs="Arial"/>
        </w:rPr>
        <w:t xml:space="preserve"> admission will be provided in the short term from Ribbleton Hospital in Preston. </w:t>
      </w:r>
      <w:r w:rsidR="00E52F20" w:rsidRPr="00B848CD">
        <w:rPr>
          <w:rFonts w:ascii="Arial" w:hAnsi="Arial" w:cs="Arial"/>
        </w:rPr>
        <w:t>From 2015</w:t>
      </w:r>
      <w:r w:rsidR="0026318A" w:rsidRPr="00B848CD">
        <w:rPr>
          <w:rFonts w:ascii="Arial" w:hAnsi="Arial" w:cs="Arial"/>
        </w:rPr>
        <w:t>,</w:t>
      </w:r>
      <w:r w:rsidR="008662F0" w:rsidRPr="00B848CD">
        <w:rPr>
          <w:rFonts w:ascii="Arial" w:hAnsi="Arial" w:cs="Arial"/>
        </w:rPr>
        <w:t xml:space="preserve"> </w:t>
      </w:r>
      <w:r w:rsidR="00E52F20" w:rsidRPr="00B848CD">
        <w:rPr>
          <w:rFonts w:ascii="Arial" w:hAnsi="Arial" w:cs="Arial"/>
        </w:rPr>
        <w:t xml:space="preserve">it is proposed that </w:t>
      </w:r>
      <w:r w:rsidR="008662F0" w:rsidRPr="00B848CD">
        <w:rPr>
          <w:rFonts w:ascii="Arial" w:hAnsi="Arial" w:cs="Arial"/>
        </w:rPr>
        <w:t>specialist dementia beds will be provid</w:t>
      </w:r>
      <w:r w:rsidR="0026318A" w:rsidRPr="00B848CD">
        <w:rPr>
          <w:rFonts w:ascii="Arial" w:hAnsi="Arial" w:cs="Arial"/>
        </w:rPr>
        <w:t>ed from The Harbour in Blackpool</w:t>
      </w:r>
      <w:r w:rsidR="008662F0" w:rsidRPr="00B848CD">
        <w:rPr>
          <w:rFonts w:ascii="Arial" w:hAnsi="Arial" w:cs="Arial"/>
        </w:rPr>
        <w:t>.</w:t>
      </w:r>
      <w:r w:rsidR="00826630" w:rsidRPr="00B848CD">
        <w:rPr>
          <w:rFonts w:ascii="Arial" w:hAnsi="Arial" w:cs="Arial"/>
        </w:rPr>
        <w:t xml:space="preserve"> </w:t>
      </w:r>
      <w:r w:rsidR="00093F52" w:rsidRPr="00B848CD">
        <w:rPr>
          <w:rFonts w:ascii="Arial" w:hAnsi="Arial" w:cs="Arial"/>
        </w:rPr>
        <w:t xml:space="preserve">In December 2012, this will be subject to a public consultation led by Lancashire PCTs, setting out proposals to further strengthen the community and hospital services available and ensure that there is consistent service provision for people with dementia and their carers across the county. </w:t>
      </w:r>
    </w:p>
    <w:p w:rsidR="00826630" w:rsidRPr="00B848CD" w:rsidRDefault="00826630" w:rsidP="007469EF">
      <w:pPr>
        <w:rPr>
          <w:rFonts w:ascii="Arial" w:hAnsi="Arial" w:cs="Arial"/>
        </w:rPr>
      </w:pPr>
    </w:p>
    <w:p w:rsidR="000A658F" w:rsidRPr="00B848CD" w:rsidRDefault="00D32355" w:rsidP="007469EF">
      <w:pPr>
        <w:rPr>
          <w:rFonts w:ascii="Arial" w:hAnsi="Arial" w:cs="Arial"/>
          <w:b/>
        </w:rPr>
      </w:pPr>
      <w:r w:rsidRPr="00B848CD">
        <w:rPr>
          <w:rFonts w:ascii="Arial" w:hAnsi="Arial" w:cs="Arial"/>
          <w:b/>
        </w:rPr>
        <w:t xml:space="preserve">In </w:t>
      </w:r>
      <w:r w:rsidR="000A658F" w:rsidRPr="00B848CD">
        <w:rPr>
          <w:rFonts w:ascii="Arial" w:hAnsi="Arial" w:cs="Arial"/>
          <w:b/>
        </w:rPr>
        <w:t xml:space="preserve">Summary </w:t>
      </w:r>
    </w:p>
    <w:p w:rsidR="000A658F" w:rsidRPr="00B848CD" w:rsidRDefault="000A658F" w:rsidP="007469EF">
      <w:pPr>
        <w:rPr>
          <w:rFonts w:ascii="Arial" w:hAnsi="Arial" w:cs="Arial"/>
          <w:b/>
          <w:color w:val="FF0000"/>
        </w:rPr>
      </w:pPr>
    </w:p>
    <w:p w:rsidR="00826630" w:rsidRPr="00B848CD" w:rsidRDefault="00826630" w:rsidP="00B1710E">
      <w:pPr>
        <w:numPr>
          <w:ilvl w:val="0"/>
          <w:numId w:val="14"/>
        </w:numPr>
        <w:jc w:val="both"/>
        <w:rPr>
          <w:rFonts w:ascii="Arial" w:hAnsi="Arial" w:cs="Arial"/>
        </w:rPr>
      </w:pPr>
      <w:r w:rsidRPr="00B848CD">
        <w:rPr>
          <w:rFonts w:ascii="Arial" w:hAnsi="Arial" w:cs="Arial"/>
        </w:rPr>
        <w:t xml:space="preserve">The Trust has robust </w:t>
      </w:r>
      <w:r w:rsidR="000C0A4A" w:rsidRPr="00B848CD">
        <w:rPr>
          <w:rFonts w:ascii="Arial" w:hAnsi="Arial" w:cs="Arial"/>
        </w:rPr>
        <w:t>arrangements</w:t>
      </w:r>
      <w:r w:rsidR="00173EDF" w:rsidRPr="00B848CD">
        <w:rPr>
          <w:rFonts w:ascii="Arial" w:hAnsi="Arial" w:cs="Arial"/>
        </w:rPr>
        <w:t xml:space="preserve"> in place for </w:t>
      </w:r>
      <w:r w:rsidR="000C0A4A" w:rsidRPr="00B848CD">
        <w:rPr>
          <w:rFonts w:ascii="Arial" w:hAnsi="Arial" w:cs="Arial"/>
        </w:rPr>
        <w:t>managing its transitional plans. This involves safely moving</w:t>
      </w:r>
      <w:r w:rsidR="00173EDF" w:rsidRPr="00B848CD">
        <w:rPr>
          <w:rFonts w:ascii="Arial" w:hAnsi="Arial" w:cs="Arial"/>
        </w:rPr>
        <w:t xml:space="preserve"> from old wards to new accommodation</w:t>
      </w:r>
      <w:r w:rsidR="000C0A4A" w:rsidRPr="00B848CD">
        <w:rPr>
          <w:rFonts w:ascii="Arial" w:hAnsi="Arial" w:cs="Arial"/>
        </w:rPr>
        <w:t xml:space="preserve"> and </w:t>
      </w:r>
      <w:r w:rsidR="00173EDF" w:rsidRPr="00B848CD">
        <w:rPr>
          <w:rFonts w:ascii="Arial" w:hAnsi="Arial" w:cs="Arial"/>
        </w:rPr>
        <w:t>ensur</w:t>
      </w:r>
      <w:r w:rsidR="000C0A4A" w:rsidRPr="00B848CD">
        <w:rPr>
          <w:rFonts w:ascii="Arial" w:hAnsi="Arial" w:cs="Arial"/>
        </w:rPr>
        <w:t>ing</w:t>
      </w:r>
      <w:r w:rsidR="00173EDF" w:rsidRPr="00B848CD">
        <w:rPr>
          <w:rFonts w:ascii="Arial" w:hAnsi="Arial" w:cs="Arial"/>
        </w:rPr>
        <w:t xml:space="preserve"> that alternative provision is available in the community </w:t>
      </w:r>
      <w:r w:rsidR="00D32355" w:rsidRPr="00B848CD">
        <w:rPr>
          <w:rFonts w:ascii="Arial" w:hAnsi="Arial" w:cs="Arial"/>
        </w:rPr>
        <w:t xml:space="preserve">to meet </w:t>
      </w:r>
      <w:r w:rsidR="00173EDF" w:rsidRPr="00B848CD">
        <w:rPr>
          <w:rFonts w:ascii="Arial" w:hAnsi="Arial" w:cs="Arial"/>
        </w:rPr>
        <w:t xml:space="preserve">people’s needs. </w:t>
      </w:r>
    </w:p>
    <w:p w:rsidR="00826630" w:rsidRPr="00B848CD" w:rsidRDefault="00826630" w:rsidP="00826630">
      <w:pPr>
        <w:ind w:left="720"/>
        <w:jc w:val="both"/>
        <w:rPr>
          <w:rFonts w:ascii="Arial" w:hAnsi="Arial" w:cs="Arial"/>
        </w:rPr>
      </w:pPr>
    </w:p>
    <w:p w:rsidR="00B1710E" w:rsidRPr="00B848CD" w:rsidRDefault="00B1710E" w:rsidP="00B1710E">
      <w:pPr>
        <w:numPr>
          <w:ilvl w:val="0"/>
          <w:numId w:val="14"/>
        </w:numPr>
        <w:jc w:val="both"/>
        <w:rPr>
          <w:rFonts w:ascii="Arial" w:hAnsi="Arial" w:cs="Arial"/>
        </w:rPr>
      </w:pPr>
      <w:r w:rsidRPr="00B848CD">
        <w:rPr>
          <w:rFonts w:ascii="Arial" w:hAnsi="Arial" w:cs="Arial"/>
        </w:rPr>
        <w:t>The future vision of acute mental health services in Lancashire is as a network of high quality care with the following features:</w:t>
      </w:r>
    </w:p>
    <w:p w:rsidR="00B1710E" w:rsidRPr="00B848CD" w:rsidRDefault="00B1710E" w:rsidP="00B1710E">
      <w:pPr>
        <w:numPr>
          <w:ilvl w:val="1"/>
          <w:numId w:val="14"/>
        </w:numPr>
        <w:jc w:val="both"/>
        <w:rPr>
          <w:rFonts w:ascii="Arial" w:hAnsi="Arial" w:cs="Arial"/>
        </w:rPr>
      </w:pPr>
      <w:r w:rsidRPr="00B848CD">
        <w:rPr>
          <w:rFonts w:ascii="Arial" w:hAnsi="Arial" w:cs="Arial"/>
        </w:rPr>
        <w:lastRenderedPageBreak/>
        <w:t>High quality specialist community services in Lancashire with a single point of access for people in crisis</w:t>
      </w:r>
    </w:p>
    <w:p w:rsidR="00B1710E" w:rsidRPr="00B848CD" w:rsidRDefault="00B1710E" w:rsidP="00B1710E">
      <w:pPr>
        <w:numPr>
          <w:ilvl w:val="1"/>
          <w:numId w:val="14"/>
        </w:numPr>
        <w:jc w:val="both"/>
        <w:rPr>
          <w:rFonts w:ascii="Arial" w:hAnsi="Arial" w:cs="Arial"/>
        </w:rPr>
      </w:pPr>
      <w:r w:rsidRPr="00B848CD">
        <w:rPr>
          <w:rFonts w:ascii="Arial" w:hAnsi="Arial" w:cs="Arial"/>
        </w:rPr>
        <w:t>Four newly developed / re-designed inpatient units that are fit for purpose, offer high quality care, reasonable access and are affordable for the future</w:t>
      </w:r>
    </w:p>
    <w:p w:rsidR="00B1710E" w:rsidRPr="00B848CD" w:rsidRDefault="00B1710E" w:rsidP="00B1710E">
      <w:pPr>
        <w:numPr>
          <w:ilvl w:val="1"/>
          <w:numId w:val="14"/>
        </w:numPr>
        <w:jc w:val="both"/>
        <w:rPr>
          <w:rFonts w:ascii="Arial" w:hAnsi="Arial" w:cs="Arial"/>
        </w:rPr>
      </w:pPr>
      <w:r w:rsidRPr="00B848CD">
        <w:rPr>
          <w:rFonts w:ascii="Arial" w:hAnsi="Arial" w:cs="Arial"/>
        </w:rPr>
        <w:t>Local intensive community treatment and therapeutic care for</w:t>
      </w:r>
      <w:r w:rsidR="0026318A" w:rsidRPr="00B848CD">
        <w:rPr>
          <w:rFonts w:ascii="Arial" w:hAnsi="Arial" w:cs="Arial"/>
        </w:rPr>
        <w:t xml:space="preserve"> people with</w:t>
      </w:r>
      <w:r w:rsidRPr="00B848CD">
        <w:rPr>
          <w:rFonts w:ascii="Arial" w:hAnsi="Arial" w:cs="Arial"/>
        </w:rPr>
        <w:t xml:space="preserve"> dementia supported by very specialist county-wide inpatient services</w:t>
      </w:r>
    </w:p>
    <w:p w:rsidR="00B1710E" w:rsidRPr="00B848CD" w:rsidRDefault="00B1710E" w:rsidP="00B1710E">
      <w:pPr>
        <w:numPr>
          <w:ilvl w:val="1"/>
          <w:numId w:val="14"/>
        </w:numPr>
        <w:jc w:val="both"/>
        <w:rPr>
          <w:rFonts w:ascii="Arial" w:hAnsi="Arial" w:cs="Arial"/>
        </w:rPr>
      </w:pPr>
      <w:r w:rsidRPr="00B848CD">
        <w:rPr>
          <w:rFonts w:ascii="Arial" w:hAnsi="Arial" w:cs="Arial"/>
        </w:rPr>
        <w:t>Value for money and sustainable for the future</w:t>
      </w:r>
    </w:p>
    <w:p w:rsidR="00B1710E" w:rsidRPr="00B848CD" w:rsidRDefault="00B1710E" w:rsidP="00B1710E">
      <w:pPr>
        <w:ind w:left="720"/>
        <w:jc w:val="both"/>
        <w:rPr>
          <w:rFonts w:ascii="Arial" w:hAnsi="Arial" w:cs="Arial"/>
        </w:rPr>
      </w:pPr>
    </w:p>
    <w:p w:rsidR="00B1710E" w:rsidRPr="00B848CD" w:rsidRDefault="00B1710E" w:rsidP="00B1710E">
      <w:pPr>
        <w:numPr>
          <w:ilvl w:val="0"/>
          <w:numId w:val="14"/>
        </w:numPr>
        <w:jc w:val="both"/>
        <w:rPr>
          <w:rFonts w:ascii="Arial" w:hAnsi="Arial" w:cs="Arial"/>
        </w:rPr>
      </w:pPr>
      <w:r w:rsidRPr="00B848CD">
        <w:rPr>
          <w:rFonts w:ascii="Arial" w:hAnsi="Arial" w:cs="Arial"/>
        </w:rPr>
        <w:t xml:space="preserve">The investment has worked. More and more people for whom going to hospital was once the only option are now being treated effectively in their own homes. Therefore the demand for inpatient beds has been reducing steadily over time. </w:t>
      </w:r>
    </w:p>
    <w:p w:rsidR="00B1710E" w:rsidRPr="00B848CD" w:rsidRDefault="00B1710E" w:rsidP="00B1710E">
      <w:pPr>
        <w:ind w:left="720"/>
        <w:jc w:val="both"/>
        <w:rPr>
          <w:rFonts w:ascii="Arial" w:hAnsi="Arial" w:cs="Arial"/>
        </w:rPr>
      </w:pPr>
    </w:p>
    <w:p w:rsidR="00B1710E" w:rsidRPr="00B848CD" w:rsidRDefault="00B1710E" w:rsidP="00B1710E">
      <w:pPr>
        <w:numPr>
          <w:ilvl w:val="0"/>
          <w:numId w:val="14"/>
        </w:numPr>
        <w:jc w:val="both"/>
        <w:rPr>
          <w:rFonts w:ascii="Arial" w:hAnsi="Arial" w:cs="Arial"/>
        </w:rPr>
      </w:pPr>
      <w:r w:rsidRPr="00B848CD">
        <w:rPr>
          <w:rFonts w:ascii="Arial" w:hAnsi="Arial" w:cs="Arial"/>
        </w:rPr>
        <w:t xml:space="preserve">93% of all contacts with service users are undertaken in community settings. Inpatient services represent only a small proportion of the overall care pathway.  There is a large amount of evidence which shows that people have better mental health outcomes when they are supported outside of a hospital and should only be admitted when it is appropriate and necessary for their needs. </w:t>
      </w:r>
    </w:p>
    <w:p w:rsidR="00B1710E" w:rsidRPr="00B848CD" w:rsidRDefault="00B1710E" w:rsidP="00B1710E">
      <w:pPr>
        <w:ind w:left="360"/>
        <w:jc w:val="both"/>
        <w:rPr>
          <w:rFonts w:ascii="Arial" w:hAnsi="Arial" w:cs="Arial"/>
        </w:rPr>
      </w:pPr>
    </w:p>
    <w:p w:rsidR="0026318A" w:rsidRPr="00B848CD" w:rsidRDefault="0026318A" w:rsidP="0026318A">
      <w:pPr>
        <w:numPr>
          <w:ilvl w:val="0"/>
          <w:numId w:val="14"/>
        </w:numPr>
        <w:jc w:val="both"/>
        <w:rPr>
          <w:rFonts w:ascii="Arial" w:hAnsi="Arial" w:cs="Arial"/>
        </w:rPr>
      </w:pPr>
      <w:r w:rsidRPr="00B848CD">
        <w:rPr>
          <w:rFonts w:ascii="Arial" w:hAnsi="Arial" w:cs="Arial"/>
        </w:rPr>
        <w:t xml:space="preserve">It is recognised that further site specific engagement will need to be undertaken with regard to some aspects of the proposal, for example transport arrangements to and from inpatient sites require further development. The Trust and its PCT partners will take recommendations from the Health OSCs of Lancashire with regard to such issues. </w:t>
      </w:r>
    </w:p>
    <w:p w:rsidR="00F67CEF" w:rsidRPr="00B848CD" w:rsidRDefault="00F67CEF" w:rsidP="00F67CEF">
      <w:pPr>
        <w:pStyle w:val="ListParagraph"/>
        <w:rPr>
          <w:rFonts w:ascii="Arial" w:hAnsi="Arial" w:cs="Arial"/>
        </w:rPr>
      </w:pPr>
    </w:p>
    <w:p w:rsidR="00F67CEF" w:rsidRPr="00B848CD" w:rsidRDefault="00F67CEF" w:rsidP="0026318A">
      <w:pPr>
        <w:numPr>
          <w:ilvl w:val="0"/>
          <w:numId w:val="14"/>
        </w:numPr>
        <w:jc w:val="both"/>
        <w:rPr>
          <w:rFonts w:ascii="Arial" w:hAnsi="Arial" w:cs="Arial"/>
        </w:rPr>
      </w:pPr>
      <w:r w:rsidRPr="00B848CD">
        <w:rPr>
          <w:rFonts w:ascii="Arial" w:hAnsi="Arial" w:cs="Arial"/>
        </w:rPr>
        <w:t xml:space="preserve">A public consultation will commence in December 2012 setting out proposals to further strengthen the community and hospital services available and ensure that there is consistent service provision for people with dementia and their carers across the county. </w:t>
      </w:r>
    </w:p>
    <w:p w:rsidR="0026318A" w:rsidRPr="00B848CD" w:rsidRDefault="0026318A" w:rsidP="009444D6">
      <w:pPr>
        <w:pStyle w:val="ListParagraph"/>
        <w:rPr>
          <w:rFonts w:ascii="Arial" w:hAnsi="Arial" w:cs="Arial"/>
        </w:rPr>
      </w:pPr>
    </w:p>
    <w:p w:rsidR="000A658F" w:rsidRPr="00B848CD" w:rsidRDefault="00D32355" w:rsidP="007469EF">
      <w:pPr>
        <w:rPr>
          <w:rFonts w:ascii="Arial" w:hAnsi="Arial" w:cs="Arial"/>
          <w:b/>
        </w:rPr>
      </w:pPr>
      <w:r w:rsidRPr="00B848CD">
        <w:rPr>
          <w:rFonts w:ascii="Arial" w:hAnsi="Arial" w:cs="Arial"/>
          <w:b/>
        </w:rPr>
        <w:t xml:space="preserve">In </w:t>
      </w:r>
      <w:r w:rsidR="000A658F" w:rsidRPr="00B848CD">
        <w:rPr>
          <w:rFonts w:ascii="Arial" w:hAnsi="Arial" w:cs="Arial"/>
          <w:b/>
        </w:rPr>
        <w:t xml:space="preserve">Conclusion </w:t>
      </w:r>
    </w:p>
    <w:p w:rsidR="000A658F" w:rsidRPr="00B848CD" w:rsidRDefault="000A658F" w:rsidP="007469EF">
      <w:pPr>
        <w:rPr>
          <w:rFonts w:ascii="Arial" w:hAnsi="Arial" w:cs="Arial"/>
        </w:rPr>
      </w:pPr>
    </w:p>
    <w:p w:rsidR="00D32355" w:rsidRPr="00B848CD" w:rsidRDefault="00B1710E" w:rsidP="00D32355">
      <w:pPr>
        <w:numPr>
          <w:ilvl w:val="0"/>
          <w:numId w:val="14"/>
        </w:numPr>
        <w:jc w:val="both"/>
        <w:rPr>
          <w:rFonts w:ascii="Arial" w:hAnsi="Arial" w:cs="Arial"/>
        </w:rPr>
      </w:pPr>
      <w:r w:rsidRPr="00B848CD">
        <w:rPr>
          <w:rFonts w:ascii="Arial" w:hAnsi="Arial" w:cs="Arial"/>
        </w:rPr>
        <w:t xml:space="preserve">There are compelling reasons to change the current inpatient service to </w:t>
      </w:r>
      <w:r w:rsidR="006769CF" w:rsidRPr="00B848CD">
        <w:rPr>
          <w:rFonts w:ascii="Arial" w:hAnsi="Arial" w:cs="Arial"/>
        </w:rPr>
        <w:t xml:space="preserve">provide a therapeutic environment, deliver high quality care </w:t>
      </w:r>
      <w:r w:rsidR="00BC7FD4" w:rsidRPr="00B848CD">
        <w:rPr>
          <w:rFonts w:ascii="Arial" w:hAnsi="Arial" w:cs="Arial"/>
        </w:rPr>
        <w:t xml:space="preserve">and </w:t>
      </w:r>
      <w:r w:rsidR="00D32355" w:rsidRPr="00B848CD">
        <w:rPr>
          <w:rFonts w:ascii="Arial" w:hAnsi="Arial" w:cs="Arial"/>
        </w:rPr>
        <w:t xml:space="preserve">continue the </w:t>
      </w:r>
      <w:r w:rsidR="00BC7FD4" w:rsidRPr="00B848CD">
        <w:rPr>
          <w:rFonts w:ascii="Arial" w:hAnsi="Arial" w:cs="Arial"/>
        </w:rPr>
        <w:t xml:space="preserve">strengthening </w:t>
      </w:r>
      <w:r w:rsidR="00D32355" w:rsidRPr="00B848CD">
        <w:rPr>
          <w:rFonts w:ascii="Arial" w:hAnsi="Arial" w:cs="Arial"/>
        </w:rPr>
        <w:t xml:space="preserve">of </w:t>
      </w:r>
      <w:r w:rsidR="00BC7FD4" w:rsidRPr="00B848CD">
        <w:rPr>
          <w:rFonts w:ascii="Arial" w:hAnsi="Arial" w:cs="Arial"/>
        </w:rPr>
        <w:t xml:space="preserve">community services. </w:t>
      </w:r>
      <w:r w:rsidRPr="00B848CD">
        <w:rPr>
          <w:rFonts w:ascii="Arial" w:hAnsi="Arial" w:cs="Arial"/>
        </w:rPr>
        <w:t>The HOSC is asked to support the proposals contained with this transition plan</w:t>
      </w:r>
      <w:r w:rsidR="00173EDF" w:rsidRPr="00B848CD">
        <w:rPr>
          <w:rFonts w:ascii="Arial" w:hAnsi="Arial" w:cs="Arial"/>
        </w:rPr>
        <w:t xml:space="preserve">. It </w:t>
      </w:r>
      <w:r w:rsidRPr="00B848CD">
        <w:rPr>
          <w:rFonts w:ascii="Arial" w:hAnsi="Arial" w:cs="Arial"/>
        </w:rPr>
        <w:t>must be noted that this represents work in progress and a central part of the assurance process will be the involvement of the CCGs across Lancashire, as both decision makers and clinicians involved in the delivery of care.</w:t>
      </w:r>
      <w:r w:rsidR="00D32355" w:rsidRPr="00B848CD">
        <w:rPr>
          <w:rFonts w:ascii="Arial" w:hAnsi="Arial" w:cs="Arial"/>
        </w:rPr>
        <w:t xml:space="preserve"> The Trust and its PCT partners will continue to keep the HOSCs informed at key milestones. </w:t>
      </w:r>
    </w:p>
    <w:p w:rsidR="00833439" w:rsidRPr="00B848CD" w:rsidRDefault="00833439" w:rsidP="00A059BF">
      <w:pPr>
        <w:rPr>
          <w:rFonts w:ascii="Arial" w:hAnsi="Arial" w:cs="Arial"/>
          <w:b/>
        </w:rPr>
      </w:pPr>
    </w:p>
    <w:sectPr w:rsidR="00833439" w:rsidRPr="00B848CD" w:rsidSect="006100C8">
      <w:footerReference w:type="default" r:id="rId9"/>
      <w:pgSz w:w="11906" w:h="16838"/>
      <w:pgMar w:top="1440"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497" w:rsidRDefault="00A43497" w:rsidP="00327D50">
      <w:r>
        <w:separator/>
      </w:r>
    </w:p>
  </w:endnote>
  <w:endnote w:type="continuationSeparator" w:id="0">
    <w:p w:rsidR="00A43497" w:rsidRDefault="00A43497" w:rsidP="00327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059727"/>
      <w:docPartObj>
        <w:docPartGallery w:val="Page Numbers (Bottom of Page)"/>
        <w:docPartUnique/>
      </w:docPartObj>
    </w:sdtPr>
    <w:sdtEndPr>
      <w:rPr>
        <w:noProof/>
      </w:rPr>
    </w:sdtEndPr>
    <w:sdtContent>
      <w:p w:rsidR="00926E2C" w:rsidRDefault="00B41A8F">
        <w:pPr>
          <w:pStyle w:val="Footer"/>
          <w:jc w:val="center"/>
        </w:pPr>
      </w:p>
    </w:sdtContent>
  </w:sdt>
  <w:p w:rsidR="00926E2C" w:rsidRDefault="00926E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497" w:rsidRDefault="00A43497" w:rsidP="00327D50">
      <w:r>
        <w:separator/>
      </w:r>
    </w:p>
  </w:footnote>
  <w:footnote w:type="continuationSeparator" w:id="0">
    <w:p w:rsidR="00A43497" w:rsidRDefault="00A43497" w:rsidP="00327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679"/>
    <w:multiLevelType w:val="hybridMultilevel"/>
    <w:tmpl w:val="177AEB00"/>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1">
    <w:nsid w:val="04EA2AAD"/>
    <w:multiLevelType w:val="hybridMultilevel"/>
    <w:tmpl w:val="B5F8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C4250"/>
    <w:multiLevelType w:val="hybridMultilevel"/>
    <w:tmpl w:val="5C70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5440D"/>
    <w:multiLevelType w:val="hybridMultilevel"/>
    <w:tmpl w:val="F232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B315CA"/>
    <w:multiLevelType w:val="hybridMultilevel"/>
    <w:tmpl w:val="217018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FC5757"/>
    <w:multiLevelType w:val="hybridMultilevel"/>
    <w:tmpl w:val="DE284E5C"/>
    <w:lvl w:ilvl="0" w:tplc="F0406BA6">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035"/>
        </w:tabs>
        <w:ind w:left="1035" w:hanging="360"/>
      </w:pPr>
      <w:rPr>
        <w:rFonts w:ascii="Courier New" w:hAnsi="Courier New" w:cs="Courier New" w:hint="default"/>
      </w:rPr>
    </w:lvl>
    <w:lvl w:ilvl="2" w:tplc="08090005" w:tentative="1">
      <w:start w:val="1"/>
      <w:numFmt w:val="bullet"/>
      <w:lvlText w:val=""/>
      <w:lvlJc w:val="left"/>
      <w:pPr>
        <w:tabs>
          <w:tab w:val="num" w:pos="1755"/>
        </w:tabs>
        <w:ind w:left="1755" w:hanging="360"/>
      </w:pPr>
      <w:rPr>
        <w:rFonts w:ascii="Wingdings" w:hAnsi="Wingdings" w:hint="default"/>
      </w:rPr>
    </w:lvl>
    <w:lvl w:ilvl="3" w:tplc="08090001" w:tentative="1">
      <w:start w:val="1"/>
      <w:numFmt w:val="bullet"/>
      <w:lvlText w:val=""/>
      <w:lvlJc w:val="left"/>
      <w:pPr>
        <w:tabs>
          <w:tab w:val="num" w:pos="2475"/>
        </w:tabs>
        <w:ind w:left="2475" w:hanging="360"/>
      </w:pPr>
      <w:rPr>
        <w:rFonts w:ascii="Symbol" w:hAnsi="Symbol" w:hint="default"/>
      </w:rPr>
    </w:lvl>
    <w:lvl w:ilvl="4" w:tplc="08090003" w:tentative="1">
      <w:start w:val="1"/>
      <w:numFmt w:val="bullet"/>
      <w:lvlText w:val="o"/>
      <w:lvlJc w:val="left"/>
      <w:pPr>
        <w:tabs>
          <w:tab w:val="num" w:pos="3195"/>
        </w:tabs>
        <w:ind w:left="3195" w:hanging="360"/>
      </w:pPr>
      <w:rPr>
        <w:rFonts w:ascii="Courier New" w:hAnsi="Courier New" w:cs="Courier New" w:hint="default"/>
      </w:rPr>
    </w:lvl>
    <w:lvl w:ilvl="5" w:tplc="08090005" w:tentative="1">
      <w:start w:val="1"/>
      <w:numFmt w:val="bullet"/>
      <w:lvlText w:val=""/>
      <w:lvlJc w:val="left"/>
      <w:pPr>
        <w:tabs>
          <w:tab w:val="num" w:pos="3915"/>
        </w:tabs>
        <w:ind w:left="3915" w:hanging="360"/>
      </w:pPr>
      <w:rPr>
        <w:rFonts w:ascii="Wingdings" w:hAnsi="Wingdings" w:hint="default"/>
      </w:rPr>
    </w:lvl>
    <w:lvl w:ilvl="6" w:tplc="08090001" w:tentative="1">
      <w:start w:val="1"/>
      <w:numFmt w:val="bullet"/>
      <w:lvlText w:val=""/>
      <w:lvlJc w:val="left"/>
      <w:pPr>
        <w:tabs>
          <w:tab w:val="num" w:pos="4635"/>
        </w:tabs>
        <w:ind w:left="4635" w:hanging="360"/>
      </w:pPr>
      <w:rPr>
        <w:rFonts w:ascii="Symbol" w:hAnsi="Symbol" w:hint="default"/>
      </w:rPr>
    </w:lvl>
    <w:lvl w:ilvl="7" w:tplc="08090003" w:tentative="1">
      <w:start w:val="1"/>
      <w:numFmt w:val="bullet"/>
      <w:lvlText w:val="o"/>
      <w:lvlJc w:val="left"/>
      <w:pPr>
        <w:tabs>
          <w:tab w:val="num" w:pos="5355"/>
        </w:tabs>
        <w:ind w:left="5355" w:hanging="360"/>
      </w:pPr>
      <w:rPr>
        <w:rFonts w:ascii="Courier New" w:hAnsi="Courier New" w:cs="Courier New" w:hint="default"/>
      </w:rPr>
    </w:lvl>
    <w:lvl w:ilvl="8" w:tplc="08090005" w:tentative="1">
      <w:start w:val="1"/>
      <w:numFmt w:val="bullet"/>
      <w:lvlText w:val=""/>
      <w:lvlJc w:val="left"/>
      <w:pPr>
        <w:tabs>
          <w:tab w:val="num" w:pos="6075"/>
        </w:tabs>
        <w:ind w:left="6075" w:hanging="360"/>
      </w:pPr>
      <w:rPr>
        <w:rFonts w:ascii="Wingdings" w:hAnsi="Wingdings" w:hint="default"/>
      </w:rPr>
    </w:lvl>
  </w:abstractNum>
  <w:abstractNum w:abstractNumId="6">
    <w:nsid w:val="1402359B"/>
    <w:multiLevelType w:val="hybridMultilevel"/>
    <w:tmpl w:val="98BC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A5435"/>
    <w:multiLevelType w:val="hybridMultilevel"/>
    <w:tmpl w:val="56CAF5CC"/>
    <w:lvl w:ilvl="0" w:tplc="08090003">
      <w:start w:val="1"/>
      <w:numFmt w:val="bullet"/>
      <w:lvlText w:val="o"/>
      <w:lvlJc w:val="left"/>
      <w:pPr>
        <w:tabs>
          <w:tab w:val="num" w:pos="720"/>
        </w:tabs>
        <w:ind w:left="720" w:hanging="360"/>
      </w:pPr>
      <w:rPr>
        <w:rFonts w:ascii="Courier New" w:hAnsi="Courier New" w:cs="Courier New" w:hint="default"/>
        <w:color w:val="auto"/>
      </w:rPr>
    </w:lvl>
    <w:lvl w:ilvl="1" w:tplc="4E9E839C">
      <w:start w:val="1"/>
      <w:numFmt w:val="bullet"/>
      <w:lvlText w:val="o"/>
      <w:lvlJc w:val="left"/>
      <w:pPr>
        <w:tabs>
          <w:tab w:val="num" w:pos="1440"/>
        </w:tabs>
        <w:ind w:left="1440" w:hanging="360"/>
      </w:pPr>
      <w:rPr>
        <w:rFonts w:ascii="Courier New" w:hAnsi="Courier New"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F97A84"/>
    <w:multiLevelType w:val="hybridMultilevel"/>
    <w:tmpl w:val="D1E249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057137C"/>
    <w:multiLevelType w:val="hybridMultilevel"/>
    <w:tmpl w:val="60202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0">
    <w:nsid w:val="43B665D5"/>
    <w:multiLevelType w:val="hybridMultilevel"/>
    <w:tmpl w:val="9CC25B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DA2036"/>
    <w:multiLevelType w:val="hybridMultilevel"/>
    <w:tmpl w:val="FF26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A2836B6"/>
    <w:multiLevelType w:val="hybridMultilevel"/>
    <w:tmpl w:val="5CE6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271EA2"/>
    <w:multiLevelType w:val="hybridMultilevel"/>
    <w:tmpl w:val="EFA0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4134B"/>
    <w:multiLevelType w:val="hybridMultilevel"/>
    <w:tmpl w:val="9A6EE3FA"/>
    <w:lvl w:ilvl="0" w:tplc="753053A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C678BF"/>
    <w:multiLevelType w:val="hybridMultilevel"/>
    <w:tmpl w:val="122433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FB95EC4"/>
    <w:multiLevelType w:val="hybridMultilevel"/>
    <w:tmpl w:val="C35ACEF4"/>
    <w:lvl w:ilvl="0" w:tplc="F0406BA6">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667993"/>
    <w:multiLevelType w:val="hybridMultilevel"/>
    <w:tmpl w:val="B3EE4B94"/>
    <w:lvl w:ilvl="0" w:tplc="11C6458E">
      <w:start w:val="5"/>
      <w:numFmt w:val="decimal"/>
      <w:lvlText w:val="%1."/>
      <w:lvlJc w:val="left"/>
      <w:pPr>
        <w:tabs>
          <w:tab w:val="num" w:pos="795"/>
        </w:tabs>
        <w:ind w:left="795" w:hanging="36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num w:numId="1">
    <w:abstractNumId w:val="11"/>
  </w:num>
  <w:num w:numId="2">
    <w:abstractNumId w:val="16"/>
  </w:num>
  <w:num w:numId="3">
    <w:abstractNumId w:val="4"/>
  </w:num>
  <w:num w:numId="4">
    <w:abstractNumId w:val="9"/>
  </w:num>
  <w:num w:numId="5">
    <w:abstractNumId w:val="0"/>
  </w:num>
  <w:num w:numId="6">
    <w:abstractNumId w:val="7"/>
  </w:num>
  <w:num w:numId="7">
    <w:abstractNumId w:val="5"/>
  </w:num>
  <w:num w:numId="8">
    <w:abstractNumId w:val="8"/>
  </w:num>
  <w:num w:numId="9">
    <w:abstractNumId w:val="10"/>
  </w:num>
  <w:num w:numId="10">
    <w:abstractNumId w:val="17"/>
  </w:num>
  <w:num w:numId="11">
    <w:abstractNumId w:val="15"/>
  </w:num>
  <w:num w:numId="12">
    <w:abstractNumId w:val="2"/>
  </w:num>
  <w:num w:numId="13">
    <w:abstractNumId w:val="13"/>
  </w:num>
  <w:num w:numId="14">
    <w:abstractNumId w:val="14"/>
  </w:num>
  <w:num w:numId="15">
    <w:abstractNumId w:val="1"/>
  </w:num>
  <w:num w:numId="16">
    <w:abstractNumId w:val="6"/>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42007A"/>
    <w:rsid w:val="0001359D"/>
    <w:rsid w:val="00016A96"/>
    <w:rsid w:val="00021B96"/>
    <w:rsid w:val="00047151"/>
    <w:rsid w:val="00061636"/>
    <w:rsid w:val="00093F52"/>
    <w:rsid w:val="000A658F"/>
    <w:rsid w:val="000B387E"/>
    <w:rsid w:val="000C0A4A"/>
    <w:rsid w:val="00155457"/>
    <w:rsid w:val="00173EDF"/>
    <w:rsid w:val="001815F7"/>
    <w:rsid w:val="00192497"/>
    <w:rsid w:val="001A7495"/>
    <w:rsid w:val="00252520"/>
    <w:rsid w:val="0026318A"/>
    <w:rsid w:val="002730AA"/>
    <w:rsid w:val="00292CAA"/>
    <w:rsid w:val="002A499C"/>
    <w:rsid w:val="002D4A68"/>
    <w:rsid w:val="002E57F6"/>
    <w:rsid w:val="002F3175"/>
    <w:rsid w:val="002F6996"/>
    <w:rsid w:val="00327D50"/>
    <w:rsid w:val="00334EFF"/>
    <w:rsid w:val="00393C8E"/>
    <w:rsid w:val="003A54E6"/>
    <w:rsid w:val="003B4BCA"/>
    <w:rsid w:val="003E0883"/>
    <w:rsid w:val="003F4DE9"/>
    <w:rsid w:val="0042007A"/>
    <w:rsid w:val="00456AEF"/>
    <w:rsid w:val="00492AD4"/>
    <w:rsid w:val="004A74D3"/>
    <w:rsid w:val="004F6710"/>
    <w:rsid w:val="0050260A"/>
    <w:rsid w:val="00511266"/>
    <w:rsid w:val="00544C0F"/>
    <w:rsid w:val="005675B3"/>
    <w:rsid w:val="00590E22"/>
    <w:rsid w:val="005C6970"/>
    <w:rsid w:val="006100C8"/>
    <w:rsid w:val="0062537D"/>
    <w:rsid w:val="00661F6D"/>
    <w:rsid w:val="0067347D"/>
    <w:rsid w:val="006769CF"/>
    <w:rsid w:val="00686D58"/>
    <w:rsid w:val="006972CC"/>
    <w:rsid w:val="006A7640"/>
    <w:rsid w:val="006C1B50"/>
    <w:rsid w:val="006E2CA8"/>
    <w:rsid w:val="006F4FF6"/>
    <w:rsid w:val="00716E54"/>
    <w:rsid w:val="00724CBA"/>
    <w:rsid w:val="0072796B"/>
    <w:rsid w:val="00731C78"/>
    <w:rsid w:val="00740535"/>
    <w:rsid w:val="007418DE"/>
    <w:rsid w:val="007469EF"/>
    <w:rsid w:val="00772549"/>
    <w:rsid w:val="00781945"/>
    <w:rsid w:val="007932E3"/>
    <w:rsid w:val="007A6FD0"/>
    <w:rsid w:val="007B1877"/>
    <w:rsid w:val="007B7831"/>
    <w:rsid w:val="007D7EF0"/>
    <w:rsid w:val="00804E6C"/>
    <w:rsid w:val="00826630"/>
    <w:rsid w:val="008271B4"/>
    <w:rsid w:val="00830E6F"/>
    <w:rsid w:val="00833439"/>
    <w:rsid w:val="00846BFA"/>
    <w:rsid w:val="00863FB3"/>
    <w:rsid w:val="008653C9"/>
    <w:rsid w:val="008662F0"/>
    <w:rsid w:val="00875678"/>
    <w:rsid w:val="00894914"/>
    <w:rsid w:val="008C6648"/>
    <w:rsid w:val="008E5081"/>
    <w:rsid w:val="00907B2B"/>
    <w:rsid w:val="00911EB5"/>
    <w:rsid w:val="00926E2C"/>
    <w:rsid w:val="00927AA7"/>
    <w:rsid w:val="009444D6"/>
    <w:rsid w:val="00976D5E"/>
    <w:rsid w:val="00994286"/>
    <w:rsid w:val="009C5054"/>
    <w:rsid w:val="009F70BC"/>
    <w:rsid w:val="00A059BF"/>
    <w:rsid w:val="00A43497"/>
    <w:rsid w:val="00A52D87"/>
    <w:rsid w:val="00A725FA"/>
    <w:rsid w:val="00A961E0"/>
    <w:rsid w:val="00AA75F1"/>
    <w:rsid w:val="00B03B8E"/>
    <w:rsid w:val="00B1710E"/>
    <w:rsid w:val="00B41A8F"/>
    <w:rsid w:val="00B46297"/>
    <w:rsid w:val="00B848CD"/>
    <w:rsid w:val="00BA203D"/>
    <w:rsid w:val="00BA4E3B"/>
    <w:rsid w:val="00BC7989"/>
    <w:rsid w:val="00BC7FD4"/>
    <w:rsid w:val="00C0094D"/>
    <w:rsid w:val="00C35CD7"/>
    <w:rsid w:val="00C467B2"/>
    <w:rsid w:val="00CA4788"/>
    <w:rsid w:val="00CE097D"/>
    <w:rsid w:val="00CF5AC9"/>
    <w:rsid w:val="00D32355"/>
    <w:rsid w:val="00D410AF"/>
    <w:rsid w:val="00D478CA"/>
    <w:rsid w:val="00D632AD"/>
    <w:rsid w:val="00D67BB3"/>
    <w:rsid w:val="00D76C4B"/>
    <w:rsid w:val="00D849ED"/>
    <w:rsid w:val="00D951FB"/>
    <w:rsid w:val="00E0264C"/>
    <w:rsid w:val="00E04D4F"/>
    <w:rsid w:val="00E14174"/>
    <w:rsid w:val="00E52764"/>
    <w:rsid w:val="00E52F20"/>
    <w:rsid w:val="00E55DBE"/>
    <w:rsid w:val="00E84323"/>
    <w:rsid w:val="00E86386"/>
    <w:rsid w:val="00EA189E"/>
    <w:rsid w:val="00EC5846"/>
    <w:rsid w:val="00EF30BD"/>
    <w:rsid w:val="00F2754A"/>
    <w:rsid w:val="00F32550"/>
    <w:rsid w:val="00F67CEF"/>
    <w:rsid w:val="00F7250E"/>
    <w:rsid w:val="00F85A48"/>
    <w:rsid w:val="00FF5A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50"/>
    <w:pPr>
      <w:tabs>
        <w:tab w:val="center" w:pos="4513"/>
        <w:tab w:val="right" w:pos="9026"/>
      </w:tabs>
    </w:pPr>
  </w:style>
  <w:style w:type="character" w:customStyle="1" w:styleId="HeaderChar">
    <w:name w:val="Header Char"/>
    <w:basedOn w:val="DefaultParagraphFont"/>
    <w:link w:val="Header"/>
    <w:uiPriority w:val="99"/>
    <w:rsid w:val="00327D50"/>
  </w:style>
  <w:style w:type="paragraph" w:styleId="Footer">
    <w:name w:val="footer"/>
    <w:basedOn w:val="Normal"/>
    <w:link w:val="FooterChar"/>
    <w:uiPriority w:val="99"/>
    <w:unhideWhenUsed/>
    <w:rsid w:val="00327D50"/>
    <w:pPr>
      <w:tabs>
        <w:tab w:val="center" w:pos="4513"/>
        <w:tab w:val="right" w:pos="9026"/>
      </w:tabs>
    </w:pPr>
  </w:style>
  <w:style w:type="character" w:customStyle="1" w:styleId="FooterChar">
    <w:name w:val="Footer Char"/>
    <w:basedOn w:val="DefaultParagraphFont"/>
    <w:link w:val="Footer"/>
    <w:uiPriority w:val="99"/>
    <w:rsid w:val="00327D50"/>
  </w:style>
  <w:style w:type="paragraph" w:styleId="BalloonText">
    <w:name w:val="Balloon Text"/>
    <w:basedOn w:val="Normal"/>
    <w:link w:val="BalloonTextChar"/>
    <w:uiPriority w:val="99"/>
    <w:semiHidden/>
    <w:unhideWhenUsed/>
    <w:rsid w:val="007469EF"/>
    <w:rPr>
      <w:rFonts w:ascii="Tahoma" w:hAnsi="Tahoma" w:cs="Tahoma"/>
      <w:sz w:val="16"/>
      <w:szCs w:val="16"/>
    </w:rPr>
  </w:style>
  <w:style w:type="character" w:customStyle="1" w:styleId="BalloonTextChar">
    <w:name w:val="Balloon Text Char"/>
    <w:basedOn w:val="DefaultParagraphFont"/>
    <w:link w:val="BalloonText"/>
    <w:uiPriority w:val="99"/>
    <w:semiHidden/>
    <w:rsid w:val="007469EF"/>
    <w:rPr>
      <w:rFonts w:ascii="Tahoma" w:eastAsia="SimSun" w:hAnsi="Tahoma" w:cs="Tahoma"/>
      <w:sz w:val="16"/>
      <w:szCs w:val="16"/>
      <w:lang w:eastAsia="zh-CN"/>
    </w:rPr>
  </w:style>
  <w:style w:type="paragraph" w:styleId="ListParagraph">
    <w:name w:val="List Paragraph"/>
    <w:basedOn w:val="Normal"/>
    <w:uiPriority w:val="34"/>
    <w:qFormat/>
    <w:rsid w:val="007B7831"/>
    <w:pPr>
      <w:ind w:left="720"/>
      <w:contextualSpacing/>
    </w:pPr>
  </w:style>
  <w:style w:type="table" w:styleId="TableGrid">
    <w:name w:val="Table Grid"/>
    <w:basedOn w:val="TableNormal"/>
    <w:uiPriority w:val="59"/>
    <w:rsid w:val="00BA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6318A"/>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50"/>
    <w:pPr>
      <w:tabs>
        <w:tab w:val="center" w:pos="4513"/>
        <w:tab w:val="right" w:pos="9026"/>
      </w:tabs>
    </w:pPr>
  </w:style>
  <w:style w:type="character" w:customStyle="1" w:styleId="HeaderChar">
    <w:name w:val="Header Char"/>
    <w:basedOn w:val="DefaultParagraphFont"/>
    <w:link w:val="Header"/>
    <w:uiPriority w:val="99"/>
    <w:rsid w:val="00327D50"/>
  </w:style>
  <w:style w:type="paragraph" w:styleId="Footer">
    <w:name w:val="footer"/>
    <w:basedOn w:val="Normal"/>
    <w:link w:val="FooterChar"/>
    <w:uiPriority w:val="99"/>
    <w:unhideWhenUsed/>
    <w:rsid w:val="00327D50"/>
    <w:pPr>
      <w:tabs>
        <w:tab w:val="center" w:pos="4513"/>
        <w:tab w:val="right" w:pos="9026"/>
      </w:tabs>
    </w:pPr>
  </w:style>
  <w:style w:type="character" w:customStyle="1" w:styleId="FooterChar">
    <w:name w:val="Footer Char"/>
    <w:basedOn w:val="DefaultParagraphFont"/>
    <w:link w:val="Footer"/>
    <w:uiPriority w:val="99"/>
    <w:rsid w:val="00327D50"/>
  </w:style>
  <w:style w:type="paragraph" w:styleId="BalloonText">
    <w:name w:val="Balloon Text"/>
    <w:basedOn w:val="Normal"/>
    <w:link w:val="BalloonTextChar"/>
    <w:uiPriority w:val="99"/>
    <w:semiHidden/>
    <w:unhideWhenUsed/>
    <w:rsid w:val="007469EF"/>
    <w:rPr>
      <w:rFonts w:ascii="Tahoma" w:hAnsi="Tahoma" w:cs="Tahoma"/>
      <w:sz w:val="16"/>
      <w:szCs w:val="16"/>
    </w:rPr>
  </w:style>
  <w:style w:type="character" w:customStyle="1" w:styleId="BalloonTextChar">
    <w:name w:val="Balloon Text Char"/>
    <w:basedOn w:val="DefaultParagraphFont"/>
    <w:link w:val="BalloonText"/>
    <w:uiPriority w:val="99"/>
    <w:semiHidden/>
    <w:rsid w:val="007469EF"/>
    <w:rPr>
      <w:rFonts w:ascii="Tahoma" w:eastAsia="SimSun" w:hAnsi="Tahoma" w:cs="Tahoma"/>
      <w:sz w:val="16"/>
      <w:szCs w:val="16"/>
      <w:lang w:eastAsia="zh-CN"/>
    </w:rPr>
  </w:style>
  <w:style w:type="paragraph" w:styleId="ListParagraph">
    <w:name w:val="List Paragraph"/>
    <w:basedOn w:val="Normal"/>
    <w:uiPriority w:val="34"/>
    <w:qFormat/>
    <w:rsid w:val="007B7831"/>
    <w:pPr>
      <w:ind w:left="720"/>
      <w:contextualSpacing/>
    </w:pPr>
  </w:style>
  <w:style w:type="table" w:styleId="TableGrid">
    <w:name w:val="Table Grid"/>
    <w:basedOn w:val="TableNormal"/>
    <w:uiPriority w:val="59"/>
    <w:rsid w:val="00BA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6318A"/>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96F10"/>
    <w:rsid w:val="00E96F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3C14CFEE714FDD9C639EDBD72D7661">
    <w:name w:val="9E3C14CFEE714FDD9C639EDBD72D7661"/>
    <w:rsid w:val="00E96F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A170D1-B2C3-4576-877E-F5FFD64A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Pickover Bev (LCFT)</dc:creator>
  <cp:keywords/>
  <dc:description/>
  <cp:lastModifiedBy>User</cp:lastModifiedBy>
  <cp:revision>4</cp:revision>
  <cp:lastPrinted>2012-01-06T15:09:00Z</cp:lastPrinted>
  <dcterms:created xsi:type="dcterms:W3CDTF">2012-10-30T12:42:00Z</dcterms:created>
  <dcterms:modified xsi:type="dcterms:W3CDTF">2012-11-05T11:35:00Z</dcterms:modified>
</cp:coreProperties>
</file>